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 gadam un budžeta ietvaru 2026., 2027. un 2028.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25-TA-2188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