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2.maija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Aktīvie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
        <w:gridCol w:w="2506"/>
        <w:gridCol w:w="2217"/>
        <w:gridCol w:w="4242"/>
        <w:tblGridChange w:id="0">
          <w:tblGrid>
            <w:gridCol w:w="674"/>
            <w:gridCol w:w="2506"/>
            <w:gridCol w:w="2217"/>
            <w:gridCol w:w="4242"/>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Pasīvie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217"/>
        <w:gridCol w:w="2603"/>
        <w:gridCol w:w="2121"/>
        <w:gridCol w:w="2024"/>
        <w:tblGridChange w:id="0">
          <w:tblGrid>
            <w:gridCol w:w="482"/>
            <w:gridCol w:w="2217"/>
            <w:gridCol w:w="2603"/>
            <w:gridCol w:w="2121"/>
            <w:gridCol w:w="202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līdz 240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32, izņemot izberamo asti, kuras garums nepārsniedz pusi no konstrukcijas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24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jūras līča piekrastē – 300, tīklu jeda pārējā piekrastē – 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bottom"/>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noteikumu_(grozījumu)_projekts_p2_23-TA-2228.docx</dc:title>
</cp:coreProperties>
</file>

<file path=docProps/custom.xml><?xml version="1.0" encoding="utf-8"?>
<Properties xmlns="http://schemas.openxmlformats.org/officeDocument/2006/custom-properties" xmlns:vt="http://schemas.openxmlformats.org/officeDocument/2006/docPropsVTypes"/>
</file>