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augustā (prot. Nr. 31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dzīvokļa īpašuma Krišjāņa Barona ielā 25–14, Rīgā,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ievērojot Publiskas personas mantas atsavināšanas likuma 45. panta nosacījumus, pārdot izsolē dzīvokļa īpašumu (nekustamā īpašuma kadastra Nr. 0100 995 0929) – neapdzīvojamo telpu Nr. 14 (telpu grupas kadastra apzīmējums 0100 021 0076 001 014) un kopīpašuma 12740/913700 domājamās daļas no piecām būvēm (būvju kadastra apzīmējumi 0100 021 0076 001, 0100 021 0076 002, 0100 021 0076 003, 0100 021 0076 004 un 0100 021 0076 005) un zemes vienības (zemes vienības kadastra apzīmējums 0100 021 0076) 0,2917 ha platībā – Krišjāņa Barona ielā 24, Rīgā,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24-TA-1575</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24-TA-1575</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rīkojuma_projekts_24-TA-1575.docx</dc:title>
</cp:coreProperties>
</file>

<file path=docProps/custom.xml><?xml version="1.0" encoding="utf-8"?>
<Properties xmlns="http://schemas.openxmlformats.org/officeDocument/2006/custom-properties" xmlns:vt="http://schemas.openxmlformats.org/officeDocument/2006/docPropsVTypes"/>
</file>