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finansējuma pārdali valsts budžeta programmā 17.00.00 "Finansējums Ukrainas civiliedzīvotāju atbalsta likumā noteikto pasākumu īstenošanai" atbilstoši faktiskajai un prognozētajai nepieciešamībai"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nepieciešamais papildu finansējums pašvaldībām līdz 2 000 000 </w:t>
      </w:r>
      <w:r w:rsidR="00000000" w:rsidRPr="00000000" w:rsidDel="00000000">
        <w:rPr>
          <w:i w:val="1"/>
          <w:rtl w:val="0"/>
        </w:rPr>
        <w:t xml:space="preserve">euro </w:t>
      </w:r>
      <w:r w:rsidR="00000000" w:rsidRPr="00000000" w:rsidDel="00000000">
        <w:rPr>
          <w:rtl w:val="0"/>
        </w:rPr>
        <w:t xml:space="preserve">izdevumu segšanai par Ukrainas civiliedzīvotāju izmitināšanas pakalpojumiem tiek pārdalīts no finansējuma, kas paredzēts Labklājības ministrijas nodrošinātajiem atbalsta pasākumiem Ukrainas civiliedzīvotājiem, tādējādi nepārsniedzot Ministru kabineta 2025. gada 22. decembra rīkojuma Nr. 896 "Par Pasākumu plānu atbalsta sniegšanai Ukrainas civiliedzīvotājiem Latvijas Republikā 2026. gadam" izpildei paredzēto kopējo finansējumu 39 717 846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izstrādāt un ekonomikas ministram normatīvajos aktos noteiktajā kārtībā līdz 2026. gada 30. oktobrim iesniegt izskatīšanai Ministru kabinetā grozījumus Ministru kabineta 2026. gada 24. februāra rīkojumā Nr. 85 "Par finanšu līdzekļu piešķiršanu no valsts budžeta programmas 17.00.00 "Finansējums Ukrainas civiliedzīvotāju atbalsta likumā noteikto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26-TA-2068</w:t>
    </w:r>
    <w:r>
      <w:br/>
    </w:r>
    <w:r w:rsidR="00000000" w:rsidRPr="00000000" w:rsidDel="00000000">
      <w:rPr>
        <w:rtl w:val="0"/>
      </w:rPr>
      <w:t xml:space="preserve">Izdrukāts 16.10.2026. 13.24 - 1.0.VK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mk_sēdes_protokollēmuma_projekts_26-TA-2068.docx</dc:title>
</cp:coreProperties>
</file>

<file path=docProps/custom.xml><?xml version="1.0" encoding="utf-8"?>
<Properties xmlns="http://schemas.openxmlformats.org/officeDocument/2006/custom-properties" xmlns:vt="http://schemas.openxmlformats.org/officeDocument/2006/docPropsVTypes"/>
</file>