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ministriju un citu centrālo valsts iestāžu prioritārajiem pasākumiem 2023., 2024. un 2025.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22-TA-3749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