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Čiekurkalna 2. līnijā 42,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valstspilsētas pašvaldības īpašumā šādus nekustamos īpašumus, kas ierakstīti zemesgrāmatā uz valsts vārda Finanšu ministrijas personā, lai nodrošinātu Pašvaldību likuma 4. panta pirmajā daļā noteikto pašvaldības autonomo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088 2009) – zemes vienību (zemes vienības kadastra apzīmējums 0100 088 2009) 0,0254 ha platībā – Čiekurkalna 2. līnijā 42,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588 0048) – būvi (būves kadastra apzīmējums 0100 088 2009 001) – Čiekurkalna 2. līnijā 42,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Rīgas valstspilsētas pašvaldībai par saviem finanšu līdzekļiem nojaukt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būvi, lai īstenotu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un pēc būves nojaukšanas nodrošināt attiecīgu ierakstu dzēšanu zemesgrāmatā un Nekustamā īpašuma valsts kadastra informācijas sistēmā.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23-TA-2067</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23-TA-2067</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rīkojuma_projekts_23-TA-2067.docx</dc:title>
</cp:coreProperties>
</file>

<file path=docProps/custom.xml><?xml version="1.0" encoding="utf-8"?>
<Properties xmlns="http://schemas.openxmlformats.org/officeDocument/2006/custom-properties" xmlns:vt="http://schemas.openxmlformats.org/officeDocument/2006/docPropsVTypes"/>
</file>