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(turpmāk – pasākums) pirmo, otro, trešo un ceturto projektu iesniegumu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un tā atlases kārtām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Izglītības un zinātnes ministrijas un Kultūras ministrijas profesionālās izglītības iestāžu, tai skaitā tehnikumu, mākslu izglītības kompetences centru un profesionālo vidusskolu, un Iekšlietu ministrijas koledžu (turpmāk – profesionālās izglītības iestādes) mācību vides modernizēšana nozarēm aktuālo prasmju apguvei.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mērķgrupa ir valsts dibinātās profesionālās izglītības iestādes, kā arī šo iestāžu pedagogi un izglītojamie.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 četru projektu iesniegumu atlases kārtu (turpmāk – atlases kārta)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atbalsts paredzēts valsts dibinātu Izglītības un zinātnes ministrijas padotībā esošu profesionālās izglītības iestāžu mācību vides modernizēšanai, tostarp profesionālās izglītības sistēmas strukturālās reformas un profesionālās izglītības iestāžu tīkla optimizācijas pabeigšanai, līdzvērtīgas kvalitātes un pieejamības līdzsvarošanai profesionālās izglītības iestādēs, infrastruktūras modernizācijai, kāpinot pakalpojuma sniegšanas veiktspēju, un iepriekš Eiropas Savienības fondu ietvaros veikto ieguldījumu ilgtspējas stiprināšanai;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atbalsts paredzēts valsts dibinātu Kultūras ministrijas padotībā esošu profesionālās izglītības iestāžu mācību vides modernizēšanai, tostarp profesionālās vidējās kultūrizglītības iestāžu tīkla reformas pabeigšanai, profesionālās kultūrizglītības iestāžu mācību vides un infrastruktūras modernizācijai, tai skaitā mācību līdzekļu, materiāltehniskās bāzes atjaunināšanai;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 atbalsts paredzēts valsts dibinātu Iekšlietu ministrijas sistēmas iestāžu padotībā esošu profesionālās izglītības iestāžu mācību vides modernizēšanai, tostarp lai turpinātu Iekšlietu ministrijas īstenoto Katastrofu risku pārvaldības reformu, kas tika iesākta 2018. gadā Strukturālo reformu atbalsta programmas projekta "Iekšlietu nozares iestāžu efektivitātes paaugstināšana"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ceturtās atlases kārtas ietvaros paredzēts atbalsts darbības programmas "Izaugsme un nodarbinātība" 8.1.3. specifiskā atbalsta mērķa "Palielināt modernizēto profesionālās izglītības iestāžu skaitu" (turpmāk – 8.1.3. specifiskā atbalsta mērķis) ietvaros uzsāktiem projektiem (turpmāk – 8.1.3. specifiskā atbalsta mērķa projekti), kuros finansējuma saņēmējs objektīvu apstākļu dēļ nevar pilnībā pabeigt sākotnēji plānotās darbības un sasniegt 8.1.3. specifiskā atbalsta mērķa projektā plānotos iznākuma rādītājus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65. panta 2. punktā noteiktajā termiņā līdz 2023. gada 31. decembrim, bet pabeidz projektu, daļēji finansējot pasākuma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Reģionālās attīstības fonda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līdz 2029. gada 31. decembrim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jaunu vai modernizētu izglītības iestāžu klašu telpu ietilpība  – 5039 izglītojamie,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 3611 izglītojamie;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 550 izglītojamie;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 – 878 izglītojamie;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jauno vai modernizēto izglītības iestāžu lietotāju skaits gadā – 11 116 izglītojamie,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 8374 izglītojamie;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 1350 izglītojamie;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 – 1392 izglītojamie;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rādītājs – pakalpojumu sniegšanas veiktspēja ceturtās atlases kārtas ietvaros atbalstītajā profesionālās izglītības infrastruktūrā – 775 izglītojamie.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plānotais kopējais attiecināmais finansējums ir 54 561 705 </w:t>
      </w:r>
      <w:r w:rsidR="00000000" w:rsidRPr="00000000" w:rsidDel="00000000">
        <w:rPr>
          <w:i w:val="1"/>
          <w:rtl w:val="0"/>
        </w:rPr>
        <w:t xml:space="preserve">euro </w:t>
      </w:r>
      <w:r w:rsidR="00000000" w:rsidRPr="00000000" w:rsidDel="00000000">
        <w:rPr>
          <w:rtl w:val="0"/>
        </w:rPr>
        <w:t xml:space="preserve">(no tā elastības finansējums – 7 528 444 </w:t>
      </w:r>
      <w:r w:rsidR="00000000" w:rsidRPr="00000000" w:rsidDel="00000000">
        <w:rPr>
          <w:i w:val="1"/>
          <w:rtl w:val="0"/>
        </w:rPr>
        <w:t xml:space="preserve">euro</w:t>
      </w:r>
      <w:r w:rsidR="00000000" w:rsidRPr="00000000" w:rsidDel="00000000">
        <w:rPr>
          <w:rtl w:val="0"/>
        </w:rPr>
        <w:t xml:space="preserve">), tai skaitā Eiropas Reģionālās attīstības fonda finansējums – 46 377 448 </w:t>
      </w:r>
      <w:r w:rsidR="00000000" w:rsidRPr="00000000" w:rsidDel="00000000">
        <w:rPr>
          <w:i w:val="1"/>
          <w:rtl w:val="0"/>
        </w:rPr>
        <w:t xml:space="preserve">euro</w:t>
      </w:r>
      <w:r w:rsidR="00000000" w:rsidRPr="00000000" w:rsidDel="00000000">
        <w:rPr>
          <w:rtl w:val="0"/>
        </w:rPr>
        <w:t xml:space="preserve"> (no tā elastības finansējums – 6 399 178 </w:t>
      </w:r>
      <w:r w:rsidR="00000000" w:rsidRPr="00000000" w:rsidDel="00000000">
        <w:rPr>
          <w:i w:val="1"/>
          <w:rtl w:val="0"/>
        </w:rPr>
        <w:t xml:space="preserve">euro </w:t>
      </w:r>
      <w:r w:rsidR="00000000" w:rsidRPr="00000000" w:rsidDel="00000000">
        <w:rPr>
          <w:rtl w:val="0"/>
        </w:rPr>
        <w:t xml:space="preserve">un valsts budžeta finansējums, kas pārsniedz pasākumam pieejamo Eiropas Reģionālās attīstības fonda finansējumu, – 5 805 785 </w:t>
      </w:r>
      <w:r w:rsidR="00000000" w:rsidRPr="00000000" w:rsidDel="00000000">
        <w:rPr>
          <w:i w:val="1"/>
          <w:rtl w:val="0"/>
        </w:rPr>
        <w:t xml:space="preserve">euro</w:t>
      </w:r>
      <w:r w:rsidR="00000000" w:rsidRPr="00000000" w:rsidDel="00000000">
        <w:rPr>
          <w:rtl w:val="0"/>
        </w:rPr>
        <w:t xml:space="preserve">) un valsts budžeta līdzfinansējums – 8 184 257 </w:t>
      </w:r>
      <w:r w:rsidR="00000000" w:rsidRPr="00000000" w:rsidDel="00000000">
        <w:rPr>
          <w:i w:val="1"/>
          <w:rtl w:val="0"/>
        </w:rPr>
        <w:t xml:space="preserve">euro </w:t>
      </w:r>
      <w:r w:rsidR="00000000" w:rsidRPr="00000000" w:rsidDel="00000000">
        <w:rPr>
          <w:rtl w:val="0"/>
        </w:rPr>
        <w:t xml:space="preserve">(no tā elastības finansējums – 1 129 266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pirmajai atlases kārtai plānotais kopējais attiecināmais finansējums ir 26 146 530 </w:t>
      </w:r>
      <w:r w:rsidR="00000000" w:rsidRPr="00000000" w:rsidDel="00000000">
        <w:rPr>
          <w:i w:val="1"/>
          <w:rtl w:val="0"/>
        </w:rPr>
        <w:t xml:space="preserve">euro </w:t>
      </w:r>
      <w:r w:rsidR="00000000" w:rsidRPr="00000000" w:rsidDel="00000000">
        <w:rPr>
          <w:rtl w:val="0"/>
        </w:rPr>
        <w:t xml:space="preserve">(no tā elastības finansējums – 4 737 354 </w:t>
      </w:r>
      <w:r w:rsidR="00000000" w:rsidRPr="00000000" w:rsidDel="00000000">
        <w:rPr>
          <w:i w:val="1"/>
          <w:rtl w:val="0"/>
        </w:rPr>
        <w:t xml:space="preserve">euro</w:t>
      </w:r>
      <w:r w:rsidR="00000000" w:rsidRPr="00000000" w:rsidDel="00000000">
        <w:rPr>
          <w:rtl w:val="0"/>
        </w:rPr>
        <w:t xml:space="preserve">), tai skaitā Eiropas Reģionālās attīstības fonda finansējums – 22 224 550 </w:t>
      </w:r>
      <w:r w:rsidR="00000000" w:rsidRPr="00000000" w:rsidDel="00000000">
        <w:rPr>
          <w:i w:val="1"/>
          <w:rtl w:val="0"/>
        </w:rPr>
        <w:t xml:space="preserve">euro </w:t>
      </w:r>
      <w:r w:rsidR="00000000" w:rsidRPr="00000000" w:rsidDel="00000000">
        <w:rPr>
          <w:rtl w:val="0"/>
        </w:rPr>
        <w:t xml:space="preserve">(no tā elastības finansējums – 4 026 751 </w:t>
      </w:r>
      <w:r w:rsidR="00000000" w:rsidRPr="00000000" w:rsidDel="00000000">
        <w:rPr>
          <w:i w:val="1"/>
          <w:rtl w:val="0"/>
        </w:rPr>
        <w:t xml:space="preserve">euro </w:t>
      </w:r>
      <w:r w:rsidR="00000000" w:rsidRPr="00000000" w:rsidDel="00000000">
        <w:rPr>
          <w:rtl w:val="0"/>
        </w:rPr>
        <w:t xml:space="preserve">un valsts budžeta finansējums, kas pārsniedz pasākumam pieejamo Eiropas Reģionālās attīstības fonda finansējumu, – 580 136 </w:t>
      </w:r>
      <w:r w:rsidR="00000000" w:rsidRPr="00000000" w:rsidDel="00000000">
        <w:rPr>
          <w:i w:val="1"/>
          <w:rtl w:val="0"/>
        </w:rPr>
        <w:t xml:space="preserve">euro</w:t>
      </w:r>
      <w:r w:rsidR="00000000" w:rsidRPr="00000000" w:rsidDel="00000000">
        <w:rPr>
          <w:rtl w:val="0"/>
        </w:rPr>
        <w:t xml:space="preserve">) un valsts budžeta līdzfinansējums – 3 921 980 </w:t>
      </w:r>
      <w:r w:rsidR="00000000" w:rsidRPr="00000000" w:rsidDel="00000000">
        <w:rPr>
          <w:i w:val="1"/>
          <w:rtl w:val="0"/>
        </w:rPr>
        <w:t xml:space="preserve">euro </w:t>
      </w:r>
      <w:r w:rsidR="00000000" w:rsidRPr="00000000" w:rsidDel="00000000">
        <w:rPr>
          <w:rtl w:val="0"/>
        </w:rPr>
        <w:t xml:space="preserve">(no tā elastības finansējums – 710 603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otrajai atlases kārtai plānotais kopējais attiecināmais finansējums ir 9 800 000 </w:t>
      </w:r>
      <w:r w:rsidR="00000000" w:rsidRPr="00000000" w:rsidDel="00000000">
        <w:rPr>
          <w:i w:val="1"/>
          <w:rtl w:val="0"/>
        </w:rPr>
        <w:t xml:space="preserve">euro </w:t>
      </w:r>
      <w:r w:rsidR="00000000" w:rsidRPr="00000000" w:rsidDel="00000000">
        <w:rPr>
          <w:rtl w:val="0"/>
        </w:rPr>
        <w:t xml:space="preserve">(no tā elastības finansējums – 1 372 210 </w:t>
      </w:r>
      <w:r w:rsidR="00000000" w:rsidRPr="00000000" w:rsidDel="00000000">
        <w:rPr>
          <w:i w:val="1"/>
          <w:rtl w:val="0"/>
        </w:rPr>
        <w:t xml:space="preserve">euro</w:t>
      </w:r>
      <w:r w:rsidR="00000000" w:rsidRPr="00000000" w:rsidDel="00000000">
        <w:rPr>
          <w:rtl w:val="0"/>
        </w:rPr>
        <w:t xml:space="preserve">), tai skaitā Eiropas Reģionālās attīstības fonda finansējums – 8 330 000 </w:t>
      </w:r>
      <w:r w:rsidR="00000000" w:rsidRPr="00000000" w:rsidDel="00000000">
        <w:rPr>
          <w:i w:val="1"/>
          <w:rtl w:val="0"/>
        </w:rPr>
        <w:t xml:space="preserve">euro </w:t>
      </w:r>
      <w:r w:rsidR="00000000" w:rsidRPr="00000000" w:rsidDel="00000000">
        <w:rPr>
          <w:rtl w:val="0"/>
        </w:rPr>
        <w:t xml:space="preserve">(no tā elastības finansējums – 1 166 379 </w:t>
      </w:r>
      <w:r w:rsidR="00000000" w:rsidRPr="00000000" w:rsidDel="00000000">
        <w:rPr>
          <w:i w:val="1"/>
          <w:rtl w:val="0"/>
        </w:rPr>
        <w:t xml:space="preserve">euro </w:t>
      </w:r>
      <w:r w:rsidR="00000000" w:rsidRPr="00000000" w:rsidDel="00000000">
        <w:rPr>
          <w:rtl w:val="0"/>
        </w:rPr>
        <w:t xml:space="preserve">un valsts budžeta finansējums, kas pārsniedz pasākumam pieejamo Eiropas Reģionālās attīstības fonda finansējumu, – 935 000 </w:t>
      </w:r>
      <w:r w:rsidR="00000000" w:rsidRPr="00000000" w:rsidDel="00000000">
        <w:rPr>
          <w:i w:val="1"/>
          <w:rtl w:val="0"/>
        </w:rPr>
        <w:t xml:space="preserve">euro</w:t>
      </w:r>
      <w:r w:rsidR="00000000" w:rsidRPr="00000000" w:rsidDel="00000000">
        <w:rPr>
          <w:rtl w:val="0"/>
        </w:rPr>
        <w:t xml:space="preserve">) un valsts budžeta līdzfinansējums – 1 470 000 </w:t>
      </w:r>
      <w:r w:rsidR="00000000" w:rsidRPr="00000000" w:rsidDel="00000000">
        <w:rPr>
          <w:i w:val="1"/>
          <w:rtl w:val="0"/>
        </w:rPr>
        <w:t xml:space="preserve">euro</w:t>
      </w:r>
      <w:r w:rsidR="00000000" w:rsidRPr="00000000" w:rsidDel="00000000">
        <w:rPr>
          <w:rtl w:val="0"/>
        </w:rPr>
        <w:t xml:space="preserve"> (no tā elastības finansējums – 205 831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trešajai atlases kārtai plānotais kopējais finansējums ir 8 995 895 </w:t>
      </w:r>
      <w:r w:rsidR="00000000" w:rsidRPr="00000000" w:rsidDel="00000000">
        <w:rPr>
          <w:i w:val="1"/>
          <w:rtl w:val="0"/>
        </w:rPr>
        <w:t xml:space="preserve">euro </w:t>
      </w:r>
      <w:r w:rsidR="00000000" w:rsidRPr="00000000" w:rsidDel="00000000">
        <w:rPr>
          <w:rtl w:val="0"/>
        </w:rPr>
        <w:t xml:space="preserve">(no tā elastības finansējums – 1 418 880 </w:t>
      </w:r>
      <w:r w:rsidR="00000000" w:rsidRPr="00000000" w:rsidDel="00000000">
        <w:rPr>
          <w:i w:val="1"/>
          <w:rtl w:val="0"/>
        </w:rPr>
        <w:t xml:space="preserve">euro</w:t>
      </w:r>
      <w:r w:rsidR="00000000" w:rsidRPr="00000000" w:rsidDel="00000000">
        <w:rPr>
          <w:rtl w:val="0"/>
        </w:rPr>
        <w:t xml:space="preserve">), tai skaitā Eiropas Reģionālās attīstības fonda finansējums – 7 646 510 </w:t>
      </w:r>
      <w:r w:rsidR="00000000" w:rsidRPr="00000000" w:rsidDel="00000000">
        <w:rPr>
          <w:i w:val="1"/>
          <w:rtl w:val="0"/>
        </w:rPr>
        <w:t xml:space="preserve">euro </w:t>
      </w:r>
      <w:r w:rsidR="00000000" w:rsidRPr="00000000" w:rsidDel="00000000">
        <w:rPr>
          <w:rtl w:val="0"/>
        </w:rPr>
        <w:t xml:space="preserve">(no tā elastības finansējums – 1 206 048 </w:t>
      </w:r>
      <w:r w:rsidR="00000000" w:rsidRPr="00000000" w:rsidDel="00000000">
        <w:rPr>
          <w:i w:val="1"/>
          <w:rtl w:val="0"/>
        </w:rPr>
        <w:t xml:space="preserve">euro</w:t>
      </w:r>
      <w:r w:rsidR="00000000" w:rsidRPr="00000000" w:rsidDel="00000000">
        <w:rPr>
          <w:rtl w:val="0"/>
        </w:rPr>
        <w:t xml:space="preserve">) un valsts budžeta līdzfinansējums – 1 349 385 </w:t>
      </w:r>
      <w:r w:rsidR="00000000" w:rsidRPr="00000000" w:rsidDel="00000000">
        <w:rPr>
          <w:i w:val="1"/>
          <w:rtl w:val="0"/>
        </w:rPr>
        <w:t xml:space="preserve">euro </w:t>
      </w:r>
      <w:r w:rsidR="00000000" w:rsidRPr="00000000" w:rsidDel="00000000">
        <w:rPr>
          <w:rtl w:val="0"/>
        </w:rPr>
        <w:t xml:space="preserve">(no tā elastības finansējums – 212 832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ceturtajai atlases kārtai 8.1.3. specifiskā atbalsta mērķa projektu otrā posma īstenošanai plānotais kopējais attiecināmais finansējums ir 9 619 280 </w:t>
      </w:r>
      <w:r w:rsidR="00000000" w:rsidRPr="00000000" w:rsidDel="00000000">
        <w:rPr>
          <w:i w:val="1"/>
          <w:rtl w:val="0"/>
        </w:rPr>
        <w:t xml:space="preserve">euro</w:t>
      </w:r>
      <w:r w:rsidR="00000000" w:rsidRPr="00000000" w:rsidDel="00000000">
        <w:rPr>
          <w:rtl w:val="0"/>
        </w:rPr>
        <w:t xml:space="preserve">, tai skaitā Eiropas Reģionālās attīstības fonda finansējums – 8 176 388 </w:t>
      </w:r>
      <w:r w:rsidR="00000000" w:rsidRPr="00000000" w:rsidDel="00000000">
        <w:rPr>
          <w:i w:val="1"/>
          <w:rtl w:val="0"/>
        </w:rPr>
        <w:t xml:space="preserve">euro </w:t>
      </w:r>
      <w:r w:rsidR="00000000" w:rsidRPr="00000000" w:rsidDel="00000000">
        <w:rPr>
          <w:rtl w:val="0"/>
        </w:rPr>
        <w:t xml:space="preserve">(no tā valsts budžeta finansējums, kas pārsniedz pasākumam pieejamo Eiropas Reģionālās attīstības fonda finansējumu, – 4 290 649 </w:t>
      </w:r>
      <w:r w:rsidR="00000000" w:rsidRPr="00000000" w:rsidDel="00000000">
        <w:rPr>
          <w:i w:val="1"/>
          <w:rtl w:val="0"/>
        </w:rPr>
        <w:t xml:space="preserve">euro</w:t>
      </w:r>
      <w:r w:rsidR="00000000" w:rsidRPr="00000000" w:rsidDel="00000000">
        <w:rPr>
          <w:rtl w:val="0"/>
        </w:rPr>
        <w:t xml:space="preserve">) un valsts budžeta līdzfinansējums – 1 442 892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Eiropas Reģionālās attīstības fonda finansējuma apmērs nepārsniedz 85 procentus no projekta kopējā attiecināmā finansējuma. Pārējo finansējumu – 15 procentus no projekta kopējā attiecināmā finansējuma – veido valsts budžeta līdzfinansējums.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Projektu iesniegumos pasākuma īstenošanai kopējo pasākumam pieejamo finansējumu plāno ne vairāk kā 47 033 261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39 978 270 </w:t>
      </w:r>
      <w:r w:rsidR="00000000" w:rsidRPr="00000000" w:rsidDel="00000000">
        <w:rPr>
          <w:i w:val="1"/>
          <w:rtl w:val="0"/>
        </w:rPr>
        <w:t xml:space="preserve">euro </w:t>
      </w:r>
      <w:r w:rsidR="00000000" w:rsidRPr="00000000" w:rsidDel="00000000">
        <w:rPr>
          <w:rtl w:val="0"/>
        </w:rPr>
        <w:t xml:space="preserve">apmērā (no tā valsts budžeta finansējumu, kas pārsniedz pasākumam pieejamo Eiropas Reģionālās attīstības fonda finansējumu, – 5 805 785 </w:t>
      </w:r>
      <w:r w:rsidR="00000000" w:rsidRPr="00000000" w:rsidDel="00000000">
        <w:rPr>
          <w:i w:val="1"/>
          <w:rtl w:val="0"/>
        </w:rPr>
        <w:t xml:space="preserve">euro </w:t>
      </w:r>
      <w:r w:rsidR="00000000" w:rsidRPr="00000000" w:rsidDel="00000000">
        <w:rPr>
          <w:rtl w:val="0"/>
        </w:rPr>
        <w:t xml:space="preserve">apmērā) un valsts budžeta līdzfinansējumu 7 054 991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projekta īstenošanai kopējo pasākumā pieejamo attiecināmo finansējumu plāno ne vairāk kā 21 409 176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18 197 799 </w:t>
      </w:r>
      <w:r w:rsidR="00000000" w:rsidRPr="00000000" w:rsidDel="00000000">
        <w:rPr>
          <w:i w:val="1"/>
          <w:rtl w:val="0"/>
        </w:rPr>
        <w:t xml:space="preserve">euro </w:t>
      </w:r>
      <w:r w:rsidR="00000000" w:rsidRPr="00000000" w:rsidDel="00000000">
        <w:rPr>
          <w:rtl w:val="0"/>
        </w:rPr>
        <w:t xml:space="preserve">apmērā (no tā valsts budžeta finansējumu, kas pārsniedz pasākumam pieejamo Eiropas Reģionālās attīstības fonda finansējumu, – 580 136 </w:t>
      </w:r>
      <w:r w:rsidR="00000000" w:rsidRPr="00000000" w:rsidDel="00000000">
        <w:rPr>
          <w:i w:val="1"/>
          <w:rtl w:val="0"/>
        </w:rPr>
        <w:t xml:space="preserve">euro</w:t>
      </w:r>
      <w:r w:rsidR="00000000" w:rsidRPr="00000000" w:rsidDel="00000000">
        <w:rPr>
          <w:rtl w:val="0"/>
        </w:rPr>
        <w:t xml:space="preserve"> apmērā) un valsts budžeta līdzfinansējumu – 3 211 377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projektu īstenošanai kopējo pasākumā pieejamo attiecināmo finansējumu plāno ne vairāk kā 8 427 790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7 163 621 </w:t>
      </w:r>
      <w:r w:rsidR="00000000" w:rsidRPr="00000000" w:rsidDel="00000000">
        <w:rPr>
          <w:i w:val="1"/>
          <w:rtl w:val="0"/>
        </w:rPr>
        <w:t xml:space="preserve">euro </w:t>
      </w:r>
      <w:r w:rsidR="00000000" w:rsidRPr="00000000" w:rsidDel="00000000">
        <w:rPr>
          <w:rtl w:val="0"/>
        </w:rPr>
        <w:t xml:space="preserve">apmērā (no tā valsts budžeta finansējumu, kas pārsniedz pasākumam pieejamo Eiropas Reģionālās attīstības fonda finansējumu, – 935 000 </w:t>
      </w:r>
      <w:r w:rsidR="00000000" w:rsidRPr="00000000" w:rsidDel="00000000">
        <w:rPr>
          <w:i w:val="1"/>
          <w:rtl w:val="0"/>
        </w:rPr>
        <w:t xml:space="preserve">euro </w:t>
      </w:r>
      <w:r w:rsidR="00000000" w:rsidRPr="00000000" w:rsidDel="00000000">
        <w:rPr>
          <w:rtl w:val="0"/>
        </w:rPr>
        <w:t xml:space="preserve">apmērā) un valsts budžeta līdzfinansējumu – 1 264 169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projekta īstenošanai kopējo pasākumā pieejamo attiecināmo finansējumu plāno ne vairāk kā 7 577 015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6 440 462 </w:t>
      </w:r>
      <w:r w:rsidR="00000000" w:rsidRPr="00000000" w:rsidDel="00000000">
        <w:rPr>
          <w:i w:val="1"/>
          <w:rtl w:val="0"/>
        </w:rPr>
        <w:t xml:space="preserve">euro </w:t>
      </w:r>
      <w:r w:rsidR="00000000" w:rsidRPr="00000000" w:rsidDel="00000000">
        <w:rPr>
          <w:rtl w:val="0"/>
        </w:rPr>
        <w:t xml:space="preserve">apmērā un valsts budžeta līdzfinansējumu – 1 136 553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ceturtās atlases kārtas 8.1.3. specifiskā atbalsta mērķa projektu otrā posma īstenošanai kopējo pasākumā pieejamo attiecināmo finansējumu plāno ne vairāk kā 9 619 280 </w:t>
      </w:r>
      <w:r w:rsidR="00000000" w:rsidRPr="00000000" w:rsidDel="00000000">
        <w:rPr>
          <w:i w:val="1"/>
          <w:rtl w:val="0"/>
        </w:rPr>
        <w:t xml:space="preserve">euro </w:t>
      </w:r>
      <w:r w:rsidR="00000000" w:rsidRPr="00000000" w:rsidDel="00000000">
        <w:rPr>
          <w:rtl w:val="0"/>
        </w:rPr>
        <w:t xml:space="preserve">apmērā, tai skaitā Eiropas Reģionālās attīstības fonda finansējumu – 8 176 388 </w:t>
      </w:r>
      <w:r w:rsidR="00000000" w:rsidRPr="00000000" w:rsidDel="00000000">
        <w:rPr>
          <w:i w:val="1"/>
          <w:rtl w:val="0"/>
        </w:rPr>
        <w:t xml:space="preserve">euro </w:t>
      </w:r>
      <w:r w:rsidR="00000000" w:rsidRPr="00000000" w:rsidDel="00000000">
        <w:rPr>
          <w:rtl w:val="0"/>
        </w:rPr>
        <w:t xml:space="preserve">apmērā (no tā valsts budžeta finansējumu, kas pārsniedz pasākumam pieejamo Eiropas Reģionālās attīstības fonda finansējumu, – 4 290 649 </w:t>
      </w:r>
      <w:r w:rsidR="00000000" w:rsidRPr="00000000" w:rsidDel="00000000">
        <w:rPr>
          <w:i w:val="1"/>
          <w:rtl w:val="0"/>
        </w:rPr>
        <w:t xml:space="preserve">euro </w:t>
      </w:r>
      <w:r w:rsidR="00000000" w:rsidRPr="00000000" w:rsidDel="00000000">
        <w:rPr>
          <w:rtl w:val="0"/>
        </w:rPr>
        <w:t xml:space="preserve">apmērā) un valsts budžeta līdzfinansējumu – 1 442 892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kāds no pirmās un ceturtās atlases kārtas projektiem noslēdzas ar finanšu ietaupījumu vai kādā no pirmās un ceturtās atlases kārtas projektiem rodas objektīvs pamatojums papildu finansējuma nepieciešamībai, pasākumam pieejamā finansējuma ietvaros pirmajai un ceturtajai atlases kārtai pieejamais kopējais attiecināmais finansējums, saskaņojot ar sadarbības iestādi un atbildīgo iestādi, var tikt pārdalīts starp projektiem ceturtās kārtas ietvaros un arī starp pirmo un ceturto atlases kārtu.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minētajam plānotajam kopējam attiecināmā finansējuma apmēram.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pirmās atlases kārtas ietvaros ir Valsts izglītības attīstības aģentūra. Pēc projekta iesnieguma apstiprināšanas Valsts izglītības attīstības aģentūra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Sadarbības partneri pirmajā atlases kārtā ir Izglītības un zinātnes ministrijas profesionālās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Aizkraukles Profesionālā vidusskola;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Daugavpils Tehnoloģiju un tūrisma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Jelgavas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Jēkabpils Tehnoloģiju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Kandavas Lauksaimniecības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Kuldīgas Tehnoloģiju un tūrisma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Ogres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Latgales industriālais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Liepājas Valsts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Rīgas Valsts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Rēzeknes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Rīgas Metālapstrādes profesionālā vidusskola;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Rīgas Mākslas un mediju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Rīgas Stila un modes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Rīgas Tirdzniecības profesionālā vidusskola;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Saldus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Smiltenes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Valmieras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sabiedrība ar ierobežotu atbildību "Rīgas Tūrisma un radošās industrijas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Ventspils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Vidzemes tehnoloģiju un dizaina tehnikums.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Otrajā atlases kārtā projekta iesniedzēji un pēc projekta iesnieguma apstiprināšanas finansējuma saņēmēji ir Kultūras ministrijas profesionālās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Mākslu izglītības kompetences centrs "Latgales Mūzikas un mākslas vidusskola", kas projekta iesniegumā projekta īstenošanai kopējo pieejamo attiecināmo finansējumu plāno ne vairāk kā 3 000 000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Mākslu izglītības kompetences centrs "Nacionālā Mākslu vidusskola", kas projekta iesniegumā projekta īstenošanai kopējo pieejamo attiecināmo finansējumu plāno ne vairāk kā 5 427 790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trešajā atlases kārtā ir Nodrošinājuma valsts aģentūra. Pēc projekta iesnieguma apstiprināšanas Nodrošinājuma valsts aģentūra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Sadarbības partneri trešajā atlases kārtā ir Iekšlietu ministrijas sistēmas iestāžu padotībā esošas profesionālās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policijas koledža;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Ugunsdrošības un civilās aizsardzības koledža;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robežsardzes koledža.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iesniedzēji un finansējuma saņēmēji ceturtās atlases kārtas ietvaros ir Izglītības un zinātnes ministrijas profesionālās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Kuldīgas Tehnoloģiju un tūrisma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Stila un modes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sabiedrība ar ierobežotu atbildību "Rīgas Tūrisma un radošās industrijas tehnikums".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Sadarbības partneris ceturtās atlases kārtas projektos ir Valsts izglītības attīstības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iesnieguma iesniedzējs pirmajā un trešajā atlases kārtā pirms projekta iesnieguma iesniegšanas sadarbības iestādē izstrādā sadarbības līguma projektu par  atlases kārtā  īstenojamā projekta īstenošanu (turpmāk – sadarbības līguma projekts). Projekta iesniedzēji ceturtajā atlases kārtā pirms projektu iesniegumu iesniegšanas sadarbības iestādē veic grozījumus sadarbības līgumos par 4.2.1.6. pasākuma uzsākšanu un īstenošanu. Pirmās un trešās atlases kārtas ietvaros – sadarbības līguma projekts, ceturtās atlases kārtas ietvaros – grozījumi sadarbības līgumā ir projekta iesnieguma pielikums. Sadarbības līgumā iekļauj informāciju atbilstoši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pirms projekta iesnieguma iesniegšanas sadarbības iestādē sadarbības līguma projektu vai grozījumus sadarbības līgumā saskaņo: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un ceturtajā atlases kārtā – ar Izglītības un zinātnes ministriju;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trešajā atlases kārtā – ar Iekšlietu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iesniedzējam jānodrošina projekta iekšējā vadības un kontroles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pirmās un trešās atlases kārtas ietvaros nodrošina, lai tās funkcijas, kuras projekta iesniedzējs pilda projekta īstenošanā, tiktu nodalītas no iestādes pamatfunkciju izpildes, izstrādā sadarbības  regulējumu ar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kā arī nodrošina darbības un attiecīgus uzraudzības instrumentus finansējuma saņēmēja un sadarbības partnera iestādē.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iesnieguma iesniedzējs pirmās, otrās un trešās atlases kārtas ietvaros atbilstoši šajos noteikumos un projektu iesniegumu atlases nolikumā noteiktajām  prasībām sagatavo ne vairāk kā vienu projekta iesniegumu. Projekta iesniegumu iesniedz sadarbības iestādē, izmantojot Kohēzijas politikas fondu vadības informācijas sistēmas elektronisko vidi.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Projektu iesniedzēji ceturtajā atlases kārtā, pamatojoties uz 8.1.3. specifiskā atbalsta mērķa ietvaros uzsākto projektu iesniegumos norādīto informāciju, iesniedz projektu iesniegumus Kohēzijas politikas fondu vadības informācijas sistēmā atbilstoši sadarbības iestādes norādījumiem.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ir atbalstāmas šādas darbības, kas ietver investīcijas profesionālās izglītības iestāžu mācību vides modernizēšanā nozarēm aktuālo prasmju apguvei arodizglītības, profesionālās vidējās izglītības un  īsā cikla profesionālās augstākās izglītības  programmās (turpmāk – profesionālās izglītības programmas) un sekmē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tautsaimniecības nozarēm aktuālo prasmju apguvei nepieciešamā mācību aprīkojuma un iekārtu iegāde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un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un komunikācijas tehnoloģiju (turpmāk – IKT) risinājumu ieviešana mācību satura un procesa digitalizācijai, IKT pieejamības un kapacitātes nodrošināšanai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un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izglītības iestādes infrastruktūras, mācību un koplietošanas vides uzlabošana, tai skaitā vides un informācijas piekļūstamības nodrošināšana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un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nodrošināšanas pasākumi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minētajiem sadarbības partneriem;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vadības un īstenošanas nodrošināšana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minētajiem sadarbības partneriem.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tiešās attiecināmās izmaksas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iekārtu un aprīkojuma iegādei nepieciešamo tehnoloģiju plānu un specifikāciju izstrādes pakalpojumu izmaksas, kas ir pamatotas un saistītas ar pasākuma ietvaros atbalstāmo darbību īstenošanu, kuras nepieciešamas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šo noteikumu </w:t>
      </w:r>
      <w:r w:rsidR="00000000" w:rsidRPr="00000000" w:rsidDel="00000000">
        <w:rPr>
          <w:rtl w:val="0"/>
        </w:rPr>
        <w:t xml:space="preserve">26.1.</w:t>
      </w:r>
      <w:r w:rsidR="00000000" w:rsidRPr="00000000" w:rsidDel="00000000">
        <w:rPr>
          <w:rtl w:val="0"/>
        </w:rPr>
        <w:t xml:space="preserve"> 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plānošanas un arhitektūras uzdevuma, būvniecības izmaksu tāmes, būvniecības ieceres īstenošanai nepieciešamās dokumentācijas, paskaidrojuma raksta dokumentācijas, būvprojekta minimālā sastāvā, ēkas fasādes apliecinājuma kartes (turpmāk – būvprojekts) izstrādāšanas vai esoša būvprojekta aktualizācijas, kā arī būvprojekta ekspertīzes izmaksas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šo noteikumu </w:t>
      </w:r>
      <w:r w:rsidR="00000000" w:rsidRPr="00000000" w:rsidDel="00000000">
        <w:rPr>
          <w:rtl w:val="0"/>
        </w:rPr>
        <w:t xml:space="preserve">26.3.</w:t>
      </w:r>
      <w:r w:rsidR="00000000" w:rsidRPr="00000000" w:rsidDel="00000000">
        <w:rPr>
          <w:rtl w:val="0"/>
        </w:rPr>
        <w:t xml:space="preserve"> 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energosertifikācijas, tehniskās apsekošanas (kas būves ekspluatācijas laikā veicama atbilstoši periodiskās tehniskās apsekošanas prasībām saskaņā ar normatīvajiem aktiem būvju tehniskās apsekošanas būvnormatīvu jomā) un tehniskās izpētes izmaksas, ja tās nepieciešamas būvniecības dokumentācijas izstrādei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šo noteikumu </w:t>
      </w:r>
      <w:r w:rsidR="00000000" w:rsidRPr="00000000" w:rsidDel="00000000">
        <w:rPr>
          <w:rtl w:val="0"/>
        </w:rPr>
        <w:t xml:space="preserve">26.3.</w:t>
      </w:r>
      <w:r w:rsidR="00000000" w:rsidRPr="00000000" w:rsidDel="00000000">
        <w:rPr>
          <w:rtl w:val="0"/>
        </w:rPr>
        <w:t xml:space="preserve"> 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būvuzraudzības, autoruzraudzības, būvekspertīzes, inženierkonsultantu pakalpojuma izmaksas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šo noteikumu </w:t>
      </w:r>
      <w:r w:rsidR="00000000" w:rsidRPr="00000000" w:rsidDel="00000000">
        <w:rPr>
          <w:rtl w:val="0"/>
        </w:rPr>
        <w:t xml:space="preserve">26.3.</w:t>
      </w:r>
      <w:r w:rsidR="00000000" w:rsidRPr="00000000" w:rsidDel="00000000">
        <w:rPr>
          <w:rtl w:val="0"/>
        </w:rPr>
        <w:t xml:space="preserve"> 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nozarēm aktuālo prasmju apguvei nepieciešamā mācību aprīkojuma, iekārtu, transportlīdzekļu kā uzskates un tehnisko līdzekļu un simulatoru iegādes, piegādes, uzstādīšanas un personāla instruktāžas izmaksas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šo noteikumu </w:t>
      </w:r>
      <w:r w:rsidR="00000000" w:rsidRPr="00000000" w:rsidDel="00000000">
        <w:rPr>
          <w:rtl w:val="0"/>
        </w:rPr>
        <w:t xml:space="preserve">26.1.</w:t>
      </w:r>
      <w:r w:rsidR="00000000" w:rsidRPr="00000000" w:rsidDel="00000000">
        <w:rPr>
          <w:rtl w:val="0"/>
        </w:rPr>
        <w:t xml:space="preserve"> 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IKT risinājumu mācību procesa digitalizācijai ieviešanas izmaksas, piemēram, bezvadu interneta vai optiskā interneta pieslēguma izveides izmaksas un mācību procesa nodrošināšanai nepieciešamā aprīkojuma,  licenču, programmatūras vai to lietošanas tiesību iegādes izmaksas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šo noteikumu </w:t>
      </w:r>
      <w:r w:rsidR="00000000" w:rsidRPr="00000000" w:rsidDel="00000000">
        <w:rPr>
          <w:rtl w:val="0"/>
        </w:rPr>
        <w:t xml:space="preserve">26.2.</w:t>
      </w:r>
      <w:r w:rsidR="00000000" w:rsidRPr="00000000" w:rsidDel="00000000">
        <w:rPr>
          <w:rtl w:val="0"/>
        </w:rPr>
        <w:t xml:space="preserve"> 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profesionālās izglītības iestādes infrastruktūras, mācību un koplietošanas vides uzlabošanas, tai skaitā vides un informācijas piekļūstamības nodrošināšanas, izmaksas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šo noteikumu </w:t>
      </w:r>
      <w:r w:rsidR="00000000" w:rsidRPr="00000000" w:rsidDel="00000000">
        <w:rPr>
          <w:rtl w:val="0"/>
        </w:rPr>
        <w:t xml:space="preserve">26.1.</w:t>
      </w:r>
      <w:r w:rsidR="00000000" w:rsidRPr="00000000" w:rsidDel="00000000">
        <w:rPr>
          <w:rtl w:val="0"/>
        </w:rPr>
        <w:t xml:space="preserve"> ,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w:t>
      </w:r>
      <w:r w:rsidR="00000000" w:rsidRPr="00000000" w:rsidDel="00000000">
        <w:rPr>
          <w:rtl w:val="0"/>
        </w:rPr>
        <w:t xml:space="preserve"> apakšpunktā</w:t>
      </w:r>
      <w:r w:rsidR="00000000" w:rsidRPr="00000000" w:rsidDel="00000000">
        <w:rPr>
          <w:rtl w:val="0"/>
        </w:rPr>
        <w:t xml:space="preserve">  minēto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telpu, piemēram, klašu, kabinetu, auditoriju, laboratoriju, izveides un aprīkošanas, pārbūves, atjaunošanas un jaunu telpu izveides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ergonomiskas mācību vides izveides izmaksas, tai skaitā mācību telpas aprīkojuma un mēbeļu iegādes, apgaismojuma modernizēšanas, trokšņu slāpētāju, akustikas risinājumu izveides, vides un informācijas piekļūstamības nodrošināšanas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un koplietošanas telpu, piemēram, veselības punktu, dienesta viesnīcu, multifunkcionālo un sporta telpu, kā arī ēku, būvju un āra sporta laukumu infrastruktūras atjaunošanas, pārbūves vai jaunu ēku vai būvju būvniecības un aprīkojuma, mēbeļu, iekārtu un inventāra iegādes izmaksas, ievērojot šādus ierobežojumus: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ieguldījumi sporta infrastruktūrā un sporta infrastruktūras aprīkojuma un inventāra iegāde atbalstāma tādā apjomā, lai nodrošinātu profesionālās izglītības iestādes īstenoto mācību programmu ietvaros noteiktā obligātā mācību priekšmeta "Sports" infrastruktūras, inventāra un aprīkojuma atbilstību kvalitatīva mācību procesa nodrošināšanai, ja profesionālās izglītības iestādei nav pieejama citas izglītības iestādes vai pašvaldības sporta infrastruktūra, kas atbilst mācību procesa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labiekārtošanas darbu izmaksas, tai skaitā teritorijas apzaļumošana, koku stādīšana, labiekārtojuma elementu iegāde un uzstādīšana (piemēram, soliņi, celiņi, apgaismojums, atkritumu tvertnes, žogi) zonas izglītojamo atpūtas vai mācību vajadzībām, cietā seguma un stāvlaukuma būvniecība, pārbūve vai atjaunošana;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28.7.3.1.</w:t>
      </w:r>
      <w:r w:rsidR="00000000" w:rsidRPr="00000000" w:rsidDel="00000000">
        <w:rPr>
          <w:rtl w:val="0"/>
        </w:rPr>
        <w:t xml:space="preserve"> apakšpunktā</w:t>
      </w:r>
      <w:r w:rsidR="00000000" w:rsidRPr="00000000" w:rsidDel="00000000">
        <w:rPr>
          <w:rtl w:val="0"/>
        </w:rPr>
        <w:t xml:space="preserve"> minētās sporta infrastruktūras un </w:t>
      </w:r>
      <w:r w:rsidR="00000000" w:rsidRPr="00000000" w:rsidDel="00000000">
        <w:rPr>
          <w:rtl w:val="0"/>
        </w:rPr>
        <w:t xml:space="preserve">28.7.3.2.</w:t>
      </w:r>
      <w:r w:rsidR="00000000" w:rsidRPr="00000000" w:rsidDel="00000000">
        <w:rPr>
          <w:rtl w:val="0"/>
        </w:rPr>
        <w:t xml:space="preserve"> apakšpunktā</w:t>
      </w:r>
      <w:r w:rsidR="00000000" w:rsidRPr="00000000" w:rsidDel="00000000">
        <w:rPr>
          <w:rtl w:val="0"/>
        </w:rPr>
        <w:t xml:space="preserve"> minētās teritorijas vides un informācijas piekļūstamības nodrošināšanas izmaksas profesionālās izglītības iestādes izglītojamo atpūtas vai mācību vajadzībām;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un informācijas piekļūstamības ekspertu konsultācijas;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publiskā būvdarbu līguma izpildes termiņš pārsniedz vienu gadu, būvdarbu līgumcenas indeksācijas izmaksas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šo noteikumu </w:t>
      </w:r>
      <w:r w:rsidR="00000000" w:rsidRPr="00000000" w:rsidDel="00000000">
        <w:rPr>
          <w:rtl w:val="0"/>
        </w:rPr>
        <w:t xml:space="preserve">26.3.</w:t>
      </w:r>
      <w:r w:rsidR="00000000" w:rsidRPr="00000000" w:rsidDel="00000000">
        <w:rPr>
          <w:rtl w:val="0"/>
        </w:rPr>
        <w:t xml:space="preserve"> 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kas saistītas ar būves nodošanu ekspluatācijā, atbilstoši Ministru kabineta 2014. gada 2. septembra noteikumu Nr. 529 "Ēku būvnoteikumi" 8. nodaļai "Pieņemšana ekspluatācijā un atsevišķu darbu pabeigšana", ja tās nav paredzētas līgumā par būvdarbu veikšanu,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šo noteikumu </w:t>
      </w:r>
      <w:r w:rsidR="00000000" w:rsidRPr="00000000" w:rsidDel="00000000">
        <w:rPr>
          <w:rtl w:val="0"/>
        </w:rPr>
        <w:t xml:space="preserve">26.3.</w:t>
      </w:r>
      <w:r w:rsidR="00000000" w:rsidRPr="00000000" w:rsidDel="00000000">
        <w:rPr>
          <w:rtl w:val="0"/>
        </w:rPr>
        <w:t xml:space="preserve"> 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vadības un īstenošanas personāla (turpmāk – projekta personāls) izmaksas, izņemot virsstundas,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minētajiem sadarbības partneriem šo noteikumu </w:t>
      </w:r>
      <w:r w:rsidR="00000000" w:rsidRPr="00000000" w:rsidDel="00000000">
        <w:rPr>
          <w:rtl w:val="0"/>
        </w:rPr>
        <w:t xml:space="preserve">26.5.</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komunikācijas un vizuālās identitātes prasību nodrošināšanas pasākumi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minētajiem sadarbības partneriem;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pakalpojumu izmaksas horizontālā principa "Vienlīdzība, iekļaušana, nediskriminācija un pamattiesību ievērošana" darbību īstenošanai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28.4.</w:t>
      </w:r>
      <w:r w:rsidR="00000000" w:rsidRPr="00000000" w:rsidDel="00000000">
        <w:rPr>
          <w:rtl w:val="0"/>
        </w:rPr>
        <w:t xml:space="preserve"> apakšpunktā</w:t>
      </w:r>
      <w:r w:rsidR="00000000" w:rsidRPr="00000000" w:rsidDel="00000000">
        <w:rPr>
          <w:rtl w:val="0"/>
        </w:rPr>
        <w:t xml:space="preserve"> minētās izmaksas kopumā nepārsniedz 10 procentus no projekta tiešajām attiecināmajām izmaksām un šo noteikumu </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28.3.</w:t>
      </w:r>
      <w:r w:rsidR="00000000" w:rsidRPr="00000000" w:rsidDel="00000000">
        <w:rPr>
          <w:rtl w:val="0"/>
        </w:rPr>
        <w:t xml:space="preserve">  un </w:t>
      </w:r>
      <w:r w:rsidR="00000000" w:rsidRPr="00000000" w:rsidDel="00000000">
        <w:rPr>
          <w:rtl w:val="0"/>
        </w:rPr>
        <w:t xml:space="preserve">28.4.</w:t>
      </w:r>
      <w:r w:rsidR="00000000" w:rsidRPr="00000000" w:rsidDel="00000000">
        <w:rPr>
          <w:rtl w:val="0"/>
        </w:rPr>
        <w:t xml:space="preserve"> apakšpunktā</w:t>
      </w:r>
      <w:r w:rsidR="00000000" w:rsidRPr="00000000" w:rsidDel="00000000">
        <w:rPr>
          <w:rtl w:val="0"/>
        </w:rPr>
        <w:t xml:space="preserve">  minētās izmaksas kopumā nepārsniedz 15 procentus no projekta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28.10.</w:t>
      </w:r>
      <w:r w:rsidR="00000000" w:rsidRPr="00000000" w:rsidDel="00000000">
        <w:rPr>
          <w:rtl w:val="0"/>
        </w:rPr>
        <w:t xml:space="preserve"> apakšpunktā</w:t>
      </w:r>
      <w:r w:rsidR="00000000" w:rsidRPr="00000000" w:rsidDel="00000000">
        <w:rPr>
          <w:rtl w:val="0"/>
        </w:rPr>
        <w:t xml:space="preserve"> minētās projekta personāla izmaksas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 Nr. 2021/1060), 55. panta 1. punktu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un ceturtajā atlases kārtā piemērojot izmaksu vienoto likmi 17 procentu apmērā no projekta tiešajām attiecināmajām izmaksām, bet neieskaitot tiešās projekta personāla izmaksas un valsts budžeta finansējumu, kas pārsniedz pasākumam pieejamo Eiropas Reģionālās attīstības fonda finansējumu un tam atbilstošo valsts budžeta līdzfinansējumu 15 procentu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atlases kārtā piemērojot  izmaksu vienoto likmi deviņu procentu apmērā no projekta tiešajām attiecināmajām izmaksām, bet neieskaitot tiešās projekta personāla izmaksas un valsts budžeta finansējumu, kas pārsniedz pasākumam pieejamo Eiropas Reģionālās attīstības fonda finansējumu un tam atbilstošo valsts budžeta līdzfinansējumu 15 procentu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trešajā atlases kārtā piemērojot izmaksu vienoto likmi viena procenta apmērā no projekta tiešajām attiecināmajām izmaksām, bet neieskaitot tiešās projekta personāla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netiešās attiecināmās izmaksas finansējuma saņēmējam plāno kā vienu izmaksu pozīciju, piemērojot  netiešo izmaksu vienoto likmi 15 procentu apmērā no šo noteikumu </w:t>
      </w:r>
      <w:r w:rsidR="00000000" w:rsidRPr="00000000" w:rsidDel="00000000">
        <w:rPr>
          <w:rtl w:val="0"/>
        </w:rPr>
        <w:t xml:space="preserve">28.10.</w:t>
      </w:r>
      <w:r w:rsidR="00000000" w:rsidRPr="00000000" w:rsidDel="00000000">
        <w:rPr>
          <w:rtl w:val="0"/>
        </w:rPr>
        <w:t xml:space="preserve"> apakšpunktā</w:t>
      </w:r>
      <w:r w:rsidR="00000000" w:rsidRPr="00000000" w:rsidDel="00000000">
        <w:rPr>
          <w:rtl w:val="0"/>
        </w:rPr>
        <w:t xml:space="preserve"> minētajām tiešajām attiecināmajām projekta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Projektā neparedzētās finansējuma saņēmēja un sadarbības partnera (ja attiecināms) izmaksas, kas tieši vai netieši saistītas ar projekta rezultātu sasniegšanu papildu darbu veikšanai vai pakalpojumu sniegšanai un neparedzamu apstākļu dēļ ir kļuvušas nepieciešamas noslēgtās vienošanās izpildes nodrošināšanai, projektā plāno kā vienu izmaksu pozīciju, kas nepārsniedz piecus procentus no projekta tiešajām attiecināmajām izmaksām. Neparedzētos izdevumus finansējuma saņēmējs saskaņo ar sadarbības iestādi kārtībā, ko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attiecināmajām izmaksām saskaņā ar Kopīgo noteikumu regulas Nr.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par pievienotās vērtības nodokli.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Pēc tam kad noslēgta vienošanās par projekta īstenošanu, sadarbības iestāde, pamatojoties uz finansējuma saņēmēja rakstisku avansa pieprasījumu, nodrošina šo noteikumu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minētajam finansējuma saņēmējam, kas ir valsts dibināta profesionālās izglītības iestāde ar valsts kapitālsabiedrības statusu, avansa maksājumu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minēto atbalstāmo darbību īstenošanai. Avansu var izmaksāt pa daļām. Sadarbības iestāde, veicot avansa maksājumus, ievēro nosacījumu, ka maksimālais avansa maksājuma apmērs nepārsniedz 30 procentus no projektam piešķirtā Eiropas Reģionālās attīstības fonda finansējuma un valsts budžeta līdzfinansējuma kopsummas. Avansa un starpposma maksājumu kopsumma var būt 100 procenti no projektam piešķirtā Eiropas Reģionālās attīstības fonda finansējuma un valsts budžeta līdzfinansējuma kopsummas. Avansā neietilpst finansējums šo noteikumu </w:t>
      </w:r>
      <w:r w:rsidR="00000000" w:rsidRPr="00000000" w:rsidDel="00000000">
        <w:rPr>
          <w:rtl w:val="0"/>
        </w:rPr>
        <w:t xml:space="preserve">26.5. </w:t>
      </w:r>
      <w:r w:rsidR="00000000" w:rsidRPr="00000000" w:rsidDel="00000000">
        <w:rPr>
          <w:rtl w:val="0"/>
        </w:rPr>
        <w:t xml:space="preserve">apakšpunktā</w:t>
      </w:r>
      <w:r w:rsidR="00000000" w:rsidRPr="00000000" w:rsidDel="00000000">
        <w:rPr>
          <w:rtl w:val="0"/>
        </w:rPr>
        <w:t xml:space="preserve"> noteiktajām atbalstāmajām darbībām, ko īsteno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minētais sadarbības partneris, kas šo noteikumu </w:t>
      </w:r>
      <w:r w:rsidR="00000000" w:rsidRPr="00000000" w:rsidDel="00000000">
        <w:rPr>
          <w:rtl w:val="0"/>
        </w:rPr>
        <w:t xml:space="preserve">18.3. </w:t>
      </w:r>
      <w:r w:rsidR="00000000" w:rsidRPr="00000000" w:rsidDel="00000000">
        <w:rPr>
          <w:rtl w:val="0"/>
        </w:rPr>
        <w:t xml:space="preserve">apakšpunktā</w:t>
      </w:r>
      <w:r w:rsidR="00000000" w:rsidRPr="00000000" w:rsidDel="00000000">
        <w:rPr>
          <w:rtl w:val="0"/>
        </w:rPr>
        <w:t xml:space="preserve"> minētajam finansējuma saņēmējam pieejamā finansējuma ietvaros maksājumus veic no līdzekļiem, kas projekta īstenošanai paredzēti Izglītības un zinātnes ministrijas budžetā atbilstoši sadarbības līgumam, kas noslēgts ar finansējuma saņēmēju.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projekta īstenošanas gaitā izmaksas pieaug, radušos sadārdzinājumu pirmās un trešās atlases kārtas  ietvaros sedz sadarbības partneris, bet otrās un ceturtās atlases kārtas ietvaros – finansējuma saņēmējs no saviem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ietvaros ir attiecināmas vides prasību integrācijas izmaksas preču un pakalpojumu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atbalstāmo darbību izmaksu pozīcijām, ir uzsāktas, pamatojoties uz nozares ministrijā pieņemtiem lēmumiem, un ir veiktas pēc 2021. gada 1. janvāra.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sadarbības partnerus iesaista projektā un iekļauj sadarbības partneriem plānotās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atlases kārtā – pēc Izglītības un zinātnes ministrijas Profesionālās izglītības iestāžu attīstības un investīciju stratēģiju vērtēšanas un investīciju piesaistes pieteikumu vērtēšanas komisijas lēmuma saņemšanas par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noteiktajam sadarbības partnerim atbalstītajām darbībām un tām plānoto indikatīvo finansējuma apmēru. Izglītības un zinātnes ministrijas Profesionālās izglītības iestāžu attīstības un investīciju stratēģiju vērtēšanas un investīciju piesaistes pieteikumu vērtēšanas komisijas lēmums ir projekta iesnieguma pielikums;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trešajā atlases kārtā – pēc Iekšlietu ministrijas atzinuma saņemšanas par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noteiktajam sadarbības partnerim atbalstītajām darbībām un tām plānoto indikatīvo finansējuma apmēru. Iekšlietu ministrijas atzinums ir projekta iesnieguma pielikums;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ceturtajā atlases kārtā – neveicot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finansējuma saņēmēju projektu iesniegumu atkārtotu atlasi, ņemot vērā, ka to 8.1.3. specifiskā atbalsta mērķa projekta 2. posms atbilst Kopīgo noteikumu regulas Nr. 2021/1060 118a. pantam.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otrās atlases kārtas projektā iekļauj darbības pēc Kultūras ministrijas padotības profesionālās vidējās izglītības iestāžu attīstības un investīciju stratēģiju 2021.–2027. gadam vērtēšanas komisijas lēmuma saņemšanas par finansējuma saņēmējam atbalstītajām darbībām un tām plānoto indikatīvo finansējuma apmēru. Kultūras ministrijas padotības profesionālās vidējās izglītības iestāžu attīstības un investīciju stratēģiju 2021.–2027. gadam vērtēšanas komisijas lēmums ir projekta iesnieguma pielikums.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28.5.</w:t>
      </w:r>
      <w:r w:rsidR="00000000" w:rsidRPr="00000000" w:rsidDel="00000000">
        <w:rPr>
          <w:rtl w:val="0"/>
        </w:rPr>
        <w:t xml:space="preserve"> apakšpunktā</w:t>
      </w:r>
      <w:r w:rsidR="00000000" w:rsidRPr="00000000" w:rsidDel="00000000">
        <w:rPr>
          <w:rtl w:val="0"/>
        </w:rPr>
        <w:t xml:space="preserve"> minētās izmaksas var tikt attiecinātas, ja par to nepieciešamību projekta īstenošanas laikā pirms publiskā iepirkuma procedūras veikšanas pirmās atlases kārtas ietvaros sadarbības partneris ir saņēmis Nozaru ekspertu padomes atzinumu, bet trešās atlases kārtas ietvaros – Iekšlietu nozares attīstības padomes atzinumu (ja attiecināms), savukārt otrās un ceturtās atlases kārtas ietvaros finansējuma saņēmējs ir saņēmis Nozaru ekspertu padomes atzinumu.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un sadarbības partneris nodrošina nepārklāšanās principu ar citiem valsts un ārvalstu finanšu atbalsta instrumentiem un dubultā finansējuma neiestāšanos projektā plānotajām  atbalstāmajām darbībām.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un sadarbības partneris nodrošina, ka projekta īstenošanas laikā tiek ievēroti interešu konflikta, korupcijas un krāpšanas novēršanas nosacījumi, un paredz, ka projekta vadībā iesaistītais projekta personāls ir informēts par korupcijas un interešu konflikta novēršanas jautājumiem, krāpšanas pazīmēm un pienākumu ziņot par konstatētajām aizdomām, par ziņotāju aizsardzību atbilstoši Trauksmes celšanas likumam, kā arī ir parakstīti apliecinājumi par interešu konflikta neesību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panta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Būvdarbu iepirkuma dokumentācijā tiek paredzēta kārtība, kā rīkoties gadījumos, kad piedāvātā līgumcena pārsniedz plānoto līgumcenu, vienlaikus nodrošinot profesionālās izglītības iestādes stratēģijā plānoto projekta mērķu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projekta īstenošanai nepieciešamo būvdarbu un pakalpojumu iepirkumu veic saskaņā ar normatīvajiem aktiem publisko iepirkumu jomā, īstenojot atklātu, pārredzamu, nediskriminējošu un konkurenci nodrošinošu konkursa procedūru,  nodrošina vides prasību integrāciju preču un pakalpojumu iepirkumos (zaļais publiskais iepirkums) un vides un informācijas piekļūstamību (sociāli atbildīgs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būvdarbu izpildītājam vai piegādātājam var paredzēt avansa maksājumu līdz 30 procentiem no būvdarbu vai piegāžu pakalpojumu  līgumcenas. Lai saņemtu avansa maksājumu, būvdarbu izpildītājs vai piegādātājs finansējuma saņēmējam iesniedz Eiropas Savienībā reģistrētas kredītiestādes vai apdrošināšanas sabiedrības izsniegtu pirmā pieprasījuma avansa atmaksāšanas garantiju, kas ir vienāda ar avansa summu un ir spēkā līdz pilnīgai avansa summas atmaksai.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projekta ietvaros tiek plānotas šo noteikumu </w:t>
      </w:r>
      <w:r w:rsidR="00000000" w:rsidRPr="00000000" w:rsidDel="00000000">
        <w:rPr>
          <w:rtl w:val="0"/>
        </w:rPr>
        <w:t xml:space="preserve">28.7.3.</w:t>
      </w:r>
      <w:r w:rsidR="00000000" w:rsidRPr="00000000" w:rsidDel="00000000">
        <w:rPr>
          <w:rtl w:val="0"/>
        </w:rPr>
        <w:t xml:space="preserve"> apakšpunktā</w:t>
      </w:r>
      <w:r w:rsidR="00000000" w:rsidRPr="00000000" w:rsidDel="00000000">
        <w:rPr>
          <w:rtl w:val="0"/>
        </w:rPr>
        <w:t xml:space="preserve"> minētās ēkas pārbūves izmaksas, projekta iesniedzējs projekta iesniegumā norāda enerģijas patēriņu (megavatstundas) pirms projekta īstenošanas. Pirmajā un trešajā atlases kārtā sadarbības partnerim, bet otrajā un ceturtajā atlases kārtā finansējuma saņēmējam ir pienākums informēt sadarbības iestādi par jaunas vai esošas ēkas ikgadējo enerģijas patēriņu (megavatstundas) trīs gadus pēc projekta īstenošanas pabeigšanas.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Projekta iesniedzējs un sadarbības partneris pirmās, otrās un trešās kārtas ietvaros izpilda nepieciešamās prasības un nodrošina, ka projekta iesniegums atbilst horizontālajam principam "Nenodarīt būtisku kaitējumu" un Eiropas Savienības kohēzijas politikas programmā 2021.– 2027. gadam noteiktajiem Eiropas Savienības un nacionālajiem normatīvajiem aktiem vides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Pasākuma ietvaros ieguldījumu infrastruktūrā var veikt,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un trešajā atlases kārtā infrastruktūra un nekustamais īpašums ir sadarbības partneru, bet otrajā un ceturtajā atlases kārtā finansējuma saņēmēja īpašumā;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infrastruktūra un nekustamais īpašums ir valsts īpašumā un pirmajā un trešajā atlases kārtā nodots sadarbības partneru, bet otrajā un ceturtajā atlases kārtā finansējuma saņēmēja valdījumā vai lietošanā;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pirmajā un trešajā atlases kārtā sadarbības partneriem, bet otrajā un ceturtajā atlases kārtā finansējuma saņēmējam uz infrastruktūru ir ilgtermiņa nomas tiesības vismaz vēl piecus gadus pēc noslēguma maksājuma veikšanas un tās ir reģistrētas Valsts vienotajā datorizētajā zemesgrāmatā.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Projekta ietvaros netiek atbalstītas projekta darbības, kurām atbalsts ir kvalificējams kā komercdarbības atbalsts. Ja ar saimniecisko darbību nesaistīts projekts tā ieviešanas gaitā vai uzraudzības periodā pēc tā pabeigšanas kļūst par projektu, kas saistīts ar saimniecisku darbību, kurai sniegtais atbalsts būtu kvalificējams kā komercdarbības atbalsts, pirmajā un trešajā atlases kārtā sadarbības partneris, bet otrajā un ceturtajā atlases kārtā finansējuma saņēmējs no finansējuma, kura avots nav publiskie līdzekļi, atmaksā sadarbības iestādei visu nelikumīgi saņemto atbalstu kopā ar procentiem saskaņā ar Komercdarbības atbalsta kontroles likuma IV vai V nodaļas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Lai atbalsts infrastruktūrai netiktu kvalificēts kā komercdarbības atbalsts, infrastruktūrā, kuru izmanto profesionālās izglītības iestāžu vajadzībām, pamatlīdzekļu un ilgtermiņa ieguldījumu amortizācijas periodā ir pieļaujams veikt papildinošu saimniecisko darbību ne vairāk kā 20 procentu apmērā no infrastruktūras gada jaudas platības, laika vai finanšu izteiksmē un ir pieļaujams sniegt papildpakalpojumus.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Sadarbības iestāde saskaņā ar atbildīgās iestādes izstrādāto papildinošas saimnieciskās darbības uzraudzības metodiku nodrošina veikto investīciju atbilstības uzraudzību visā projekta dzīves ciklā (10 -15 gadu robežās) saskaņā ar šo noteikumu </w:t>
      </w:r>
      <w:r w:rsidR="00000000" w:rsidRPr="00000000" w:rsidDel="00000000">
        <w:rPr>
          <w:rtl w:val="0"/>
        </w:rPr>
        <w:t xml:space="preserve">50.</w:t>
      </w:r>
      <w:r w:rsidR="00000000" w:rsidRPr="00000000" w:rsidDel="00000000">
        <w:rPr>
          <w:rtl w:val="0"/>
        </w:rPr>
        <w:t xml:space="preserve"> un </w:t>
      </w:r>
      <w:r w:rsidR="00000000" w:rsidRPr="00000000" w:rsidDel="00000000">
        <w:rPr>
          <w:rtl w:val="0"/>
        </w:rPr>
        <w:t xml:space="preserve">51.</w:t>
      </w:r>
      <w:r w:rsidR="00000000" w:rsidRPr="00000000" w:rsidDel="00000000">
        <w:rPr>
          <w:rtl w:val="0"/>
        </w:rPr>
        <w:t xml:space="preserve"> punkta</w:t>
      </w:r>
      <w:r w:rsidR="00000000" w:rsidRPr="00000000" w:rsidDel="00000000">
        <w:rPr>
          <w:rtl w:val="0"/>
        </w:rPr>
        <w:t xml:space="preserve"> nosacījumiem.  Pirmās un trešās atlases kārtas ietvaros sadarbības partneris, bet otrās un ceturtās atlases kārtas ietvaros finansējuma saņēmējs visā projekta dzīves ciklā ik gadu sagatavo pārskatu par papildinošas saimnieciskās darbības apjomu un nodrošina šajā punktā minēto pārskatu un aprēķinus pamatojošo dokumentu pieejamību papildinošas saimnieciskās darbības uzraudzībai. Ja pirmās un trešās atlases kārtas ietvaros sadarbības partneris, bet otrās un ceturtās atlases kārtas ietvaros finansējuma saņēmējs konstatē, ka ir pārsniegts šo noteikumu </w:t>
      </w:r>
      <w:r w:rsidR="00000000" w:rsidRPr="00000000" w:rsidDel="00000000">
        <w:rPr>
          <w:rtl w:val="0"/>
        </w:rPr>
        <w:t xml:space="preserve">51.</w:t>
      </w:r>
      <w:r w:rsidR="00000000" w:rsidRPr="00000000" w:rsidDel="00000000">
        <w:rPr>
          <w:rtl w:val="0"/>
        </w:rPr>
        <w:t xml:space="preserve"> punktā</w:t>
      </w:r>
      <w:r w:rsidR="00000000" w:rsidRPr="00000000" w:rsidDel="00000000">
        <w:rPr>
          <w:rtl w:val="0"/>
        </w:rPr>
        <w:t xml:space="preserve"> minētais 20 procentu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w:t>
      </w:r>
      <w:r w:rsidR="00000000" w:rsidRPr="00000000" w:rsidDel="00000000">
        <w:rPr>
          <w:rtl w:val="0"/>
        </w:rPr>
        <w:t xml:space="preserve">50.</w:t>
      </w:r>
      <w:r w:rsidR="00000000" w:rsidRPr="00000000" w:rsidDel="00000000">
        <w:rPr>
          <w:rtl w:val="0"/>
        </w:rPr>
        <w:t xml:space="preserve"> un </w:t>
      </w:r>
      <w:r w:rsidR="00000000" w:rsidRPr="00000000" w:rsidDel="00000000">
        <w:rPr>
          <w:rtl w:val="0"/>
        </w:rPr>
        <w:t xml:space="preserve">51.</w:t>
      </w:r>
      <w:r w:rsidR="00000000" w:rsidRPr="00000000" w:rsidDel="00000000">
        <w:rPr>
          <w:rtl w:val="0"/>
        </w:rPr>
        <w:t xml:space="preserve"> punktā</w:t>
      </w:r>
      <w:r w:rsidR="00000000" w:rsidRPr="00000000" w:rsidDel="00000000">
        <w:rPr>
          <w:rtl w:val="0"/>
        </w:rPr>
        <w:t xml:space="preserve"> minēto nosacījumu pārkāpumu.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sadarbībā ar sadarbības partneri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pirmās, otrās un trešās atlases kārtas ietvaros uzkrāj datus par horizontālā principa "Vienlīdzība, iekļaušana, nediskriminācija un pamattiesību ievērošana" rādītājiem,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skaits, kuros ar Eiropas Reģionālās attīstības fonda ieguldījumiem ir nodrošināta vides un informācijas piekļūstamība;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veikto vides un informācijas piekļūstamības pašnovērtējumu skaits atbilstoši Labklājības ministrijas izstrādātajai metodikai;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konsultatīva rakstura pasākumu skaits par būvētās vides, IT risinājumu, IT tehnoloģiju piekļūstamību personām ar dažādiem funkcionāliem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šādus horizontālos principus un pirmās, otrās un trešās atlases kārtas ietvaros uzkrāj datus par projekta ietekmi uz horizontālo principu īstenošanu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horizontālais princips "Klimatdrošināšana";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horizontālais princips "Energoefektivitāte pirmajā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horizontālais princips "Nenodarīt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pirmās, otrās un trešās atlases kārtas ietvaros sniedz sadarbības iestādei informāciju par šo noteikumu </w:t>
      </w:r>
      <w:r w:rsidR="00000000" w:rsidRPr="00000000" w:rsidDel="00000000">
        <w:rPr>
          <w:rtl w:val="0"/>
        </w:rPr>
        <w:t xml:space="preserve">53.2.</w:t>
      </w:r>
      <w:r w:rsidR="00000000" w:rsidRPr="00000000" w:rsidDel="00000000">
        <w:rPr>
          <w:rtl w:val="0"/>
        </w:rPr>
        <w:t xml:space="preserve"> 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minētā iznākuma rādītāja vērtības sasniegšanu projektā kopā un atsevišķi pa sadarbības partneru darbībām;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prasību nodrošināšanas pasākumus šo noteikumu </w:t>
      </w:r>
      <w:r w:rsidR="00000000" w:rsidRPr="00000000" w:rsidDel="00000000">
        <w:rPr>
          <w:rtl w:val="0"/>
        </w:rPr>
        <w:t xml:space="preserve">26.4.</w:t>
      </w:r>
      <w:r w:rsidR="00000000" w:rsidRPr="00000000" w:rsidDel="00000000">
        <w:rPr>
          <w:rtl w:val="0"/>
        </w:rPr>
        <w:t xml:space="preserve"> apakšpunktā</w:t>
      </w:r>
      <w:r w:rsidR="00000000" w:rsidRPr="00000000" w:rsidDel="00000000">
        <w:rPr>
          <w:rtl w:val="0"/>
        </w:rPr>
        <w:t xml:space="preserve"> minēto atbalstāmo darbību īstenošanai saskaņā ar Kopīgo noteikumu regulas Nr.2021/1060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Finansējuma saņēmējs un sadarbības partneris ne retāk kā reizi sešos mēnešos savā tīmekļvietnē ievieto aktuālo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Finansējuma saņēmēja un sadarbības partnera pienākums ir nodrošināt projekta ietvaros sasniegto darbību rezultātu ilgtspēju un nepieciešamos līdzekļus rezultātu uzturēšanai vismaz piecus gadus pēc noslēguma maksājuma veikšanas.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Projekta īstenošanas vieta ir Latvijas Republika.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24-TA-1789</w:t>
    </w:r>
    <w:r>
      <w:br/>
    </w:r>
    <w:r w:rsidR="00000000" w:rsidRPr="00000000" w:rsidDel="00000000">
      <w:rPr>
        <w:rtl w:val="0"/>
      </w:rPr>
      <w:t xml:space="preserve">Izdrukāts 29.07.2026. 22.11 - 1.0.VK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24-TA-1789</w:t>
    </w:r>
    <w:r>
      <w:br/>
    </w:r>
    <w:r w:rsidR="00000000" w:rsidRPr="00000000" w:rsidDel="00000000">
      <w:rPr>
        <w:rtl w:val="0"/>
      </w:rPr>
      <w:t xml:space="preserve">Izdrukāts 29.07.2026. 22.11 - 1.0.VK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noteikumu_konsolidētā_versija_24-TA-1789.docx</dc:title>
</cp:coreProperties>
</file>

<file path=docProps/custom.xml><?xml version="1.0" encoding="utf-8"?>
<Properties xmlns="http://schemas.openxmlformats.org/officeDocument/2006/custom-properties" xmlns:vt="http://schemas.openxmlformats.org/officeDocument/2006/docPropsVTypes"/>
</file>