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25. janvārī (prot. Nr. 4 20.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2015. gada 26. maija noteikumos Nr. 259 "Atbalsta piešķiršanas kārtība dalībai starptautiskās sadarbības programmās pētniecības un tehnoloģiju jomā"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Zinātniskās darbības likuma</w:t>
      </w:r>
      <w:r>
        <w:br/>
      </w:r>
      <w:r w:rsidR="00000000" w:rsidRPr="00000000" w:rsidDel="00000000">
        <w:rPr>
          <w:rStyle w:val="paragraph"/>
          <w:i w:val="1"/>
          <w:rtl w:val="0"/>
        </w:rPr>
        <w:t xml:space="preserve">13.panta trešās daļas 4.punktu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2015. gada 26. maija noteikumos Nr. 259 "Atbalsta piešķiršanas kārtība dalībai starptautiskās sadarbības programmās pētniecības un tehnoloģiju jomā" (Latvijas Vēstnesis, 2015, 116. nr.; 2016, 204. nr.; 2017, 119. nr.; 2018, 182. nr.; 2021, 122.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 2.1.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Padomes 2021. gada 10. maija Regulai (Euratom) Nr. 2021/765, ar ko izveido Eiropas Atomenerģijas kopienas pētniecības un mācību programmu 2021.–2025. gadam, kas papildina pētniecības un inovācijas pamatprogrammu "Apvārsnis Eiropa", un atceļ Regulu (Euratom) 2018/1563 ES (Eiropas Savienības Oficiālais Vēstnesis, 2021. gada 12. maijs, Nr. L 167I) (turpmāk – EURATOM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 2.4.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 2.5.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 2.6.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 2.7.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 2.8.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2.10.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"2.10. Padomes 2014. gada 6. maija Regulai (ES) Nr. 561/2014, ar ko izveido kopuzņēmumu ECSEL (Eiropas Savienības Oficiālais Vēstnesis, 2014. gada 7. jūnijs, Nr. L 169);".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 2.11.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 2.12.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 2.13.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 2.14.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 2.15.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 2.16.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2.23.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"2.23. EUREKA programmas pilntiesīgo dalībnieku 2017. gada 30. jūnijā parakstītajam dokumentam "EUREKA REGULATORY CORPUS", kas nosaka programmas darbības un pārvaldības principus;".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2.24.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"2.24. Eiropas Parlamenta un Padomes 2021. gada 20. maija Regulai (ES) 2021/819 par Eiropas Inovāciju un tehnoloģiju institūtu (Eiropas Savienības Oficiālais Vēstnesis, 2021. gada 28. maijs, Nr. L 189) un Eiropas Parlamenta un Padomes Lēmumam (ES) 2021/820 (2021. gada 20. maijs) par Eiropas Inovāciju un tehnoloģiju institūta (EIT) stratēģisko inovāciju programmu 2021.–2027. gadam: Eiropas inovācijas talanta un spējas sekmēšana un Lēmuma Nr. 1312/2013/ES atcelšana (Eiropas Savienības Oficiālais Vēstnesis, 2021. gada 28. maijs, Nr. L 189);".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2.25.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 Padomes 2021. gada 29. novembra Regulai (ES) 2021/2085, ar ko izveido kopuzņēmumus pamatprogrammā "Apvārsnis Eiropa" un atceļ Regulas (EK) Nr. 219/2007, (ES) Nr. 557/2014, (ES) Nr. 558/2014, (ES) Nr. 559/2014, (ES) Nr. 560/2014, (ES) Nr. 561/2014 un (ES) Nr. 642/2014 (Eiropas Savienības Oficiālais Vēstnesis, 2021. gada 30. novembris, Nr. L 427);".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2.26.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"2.26. Eiropas Parlamenta un Padomes 2021. gada 24. novembra Lēmumam (ES) 2021/2084 par Savienības dalību Eiropas Metroloģijas partnerībā, ko kopīgi īsteno vairākas dalībvalstis;".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2.27.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"2.27. Eiropas Parlamenta un Padomes 2021. gada 28. aprīļa Regulai (ES) Nr. 2021/695, ar ko izveido pētniecības un inovācijas pamatprogrammu "Apvārsnis Eiropa", nosaka tās dalības un rezultātu izplatīšanas noteikumus un atceļ Regulas (ES) Nr. 1290/2013 un (ES) Nr. 1291/2013 (turpmāk – regula Nr. 2021/695) (Eiropas Savienības Oficiālais Vēstnesis, 2021. gada 12. maijs, Nr. L 170) (turpmāk – pamatprogramma "Apvārsnis Eiropa");".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Papildināt ar 2.28.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"2.28. Padomes 2021. gada 10. maija Lēmumam (ES) Nr. 2021/764, ar ko izveido īpašo programmu, ar kuru īsteno pētniecības un inovācijas pamatprogrammu "Apvārsnis Eiropa", un atceļ Lēmumu 2013/743/ES (Eiropas Savienības Oficiālais Vēstnesis, 2021. gada 12. maijs, Nr. L 167I)."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valsts atbalstu atbilstoši regulas Nr. 651/2014 25. pantam vai valsts līdzfinansējumu: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 pamatprogrammas "Apvārsnis 2020" un pamatprogrammas "Apvārsnis Eiropa" projektiem;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 Līguma par Eiropas Savienības darbību 185. panta ietvaros vairāku dalībvalstu izveidoto kopīgās pētniecības vai inovāciju programmu (turpmāk – kopīgās programmas) projektiem un Līguma par Eiropas Savienības darbību 187. panta ietvaros izveidoto publiskās un privātās partnerības kopuzņēmumu (turpmāk – kopuzņēmumi) projektiem;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4.1.3. </w:t>
      </w:r>
      <w:r w:rsidR="00000000" w:rsidRPr="00000000" w:rsidDel="00000000">
        <w:rPr>
          <w:i w:val="1"/>
          <w:rtl w:val="0"/>
        </w:rPr>
        <w:t xml:space="preserve">F4E</w:t>
      </w:r>
      <w:r w:rsidR="00000000" w:rsidRPr="00000000" w:rsidDel="00000000">
        <w:rPr>
          <w:rtl w:val="0"/>
        </w:rPr>
        <w:t xml:space="preserve"> kopuzņēmuma projektiem;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4.1.4. EURATOM programmas projektiem;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4.1.5. </w:t>
      </w:r>
      <w:r w:rsidR="00000000" w:rsidRPr="00000000" w:rsidDel="00000000">
        <w:rPr>
          <w:i w:val="1"/>
          <w:rtl w:val="0"/>
        </w:rPr>
        <w:t xml:space="preserve">COST</w:t>
      </w:r>
      <w:r w:rsidR="00000000" w:rsidRPr="00000000" w:rsidDel="00000000">
        <w:rPr>
          <w:rtl w:val="0"/>
        </w:rPr>
        <w:t xml:space="preserve"> aktivitātēm;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4.1.6. pamatprogrammas "Apvārsnis 2020" </w:t>
      </w:r>
      <w:r w:rsidR="00000000" w:rsidRPr="00000000" w:rsidDel="00000000">
        <w:rPr>
          <w:i w:val="1"/>
          <w:rtl w:val="0"/>
        </w:rPr>
        <w:t xml:space="preserve">ERA-NET COFUND </w:t>
      </w:r>
      <w:r w:rsidR="00000000" w:rsidRPr="00000000" w:rsidDel="00000000">
        <w:rPr>
          <w:rtl w:val="0"/>
        </w:rPr>
        <w:t xml:space="preserve">aktivitātes (turpmāk – </w:t>
      </w:r>
      <w:r w:rsidR="00000000" w:rsidRPr="00000000" w:rsidDel="00000000">
        <w:rPr>
          <w:i w:val="1"/>
          <w:rtl w:val="0"/>
        </w:rPr>
        <w:t xml:space="preserve">ERA-NET </w:t>
      </w:r>
      <w:r w:rsidR="00000000" w:rsidRPr="00000000" w:rsidDel="00000000">
        <w:rPr>
          <w:rtl w:val="0"/>
        </w:rPr>
        <w:t xml:space="preserve">aktivitātes) ietvaros atbalstītiem projektiem;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4.1.7. EUREKA programmas klasteru ietvaros atbalstītiem projektiem;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4.1.8. pamatprogrammas "Apvārsnis Eiropa" Eiropas partnerību ietvaros atbalstītiem projektiem;".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ir tiesības pretendēt uz atbalsta saņemšanu atbilstoši šiem noteikumiem, ja Latvijas Zinātnes padomē (turpmāk – padome) ir iesniegts atbalsta pretendenta pieteikums par atbalsta piešķiršanu projekta īstenošanai (turpmāk – pieteikums) un, ievērojot šo noteikumu 14. punktu, atbalsta pretendents ir noslēdzis līgumu ar Eiropas Komisiju vai padomi par projekta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valsts atbalstu nepiešķir, ja atbilstoši regulas Nr. 651/2014 6. panta 2. punktam ir uzsākta projekta īstenošana, pirms padomē ir iesniegts pieteikums;".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6.3.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ja piešķirts valsts atbalsts, ir pienākums atbilstoši regulas Nr. 651/2014 12. panta 1. punktam informāciju par saņemto valsts atbalstu un visus ar projekta īstenošanu saistīto dokumentu oriģinālus glabāt 10 gadus no valsts atbalsta piešķiršanas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7.4.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 tam saskaņā ar Valsts ieņēmumu dienesta administrēto nodokļu (nodevu) parādnieku datubāzē pieejamo informāciju nav nodokļu vai nodevu parādu vai tas var iesniegt padomē Valsts ieņēmumu dienesta vai pašvaldības kompetentās institūcijas izdota lēmuma kopiju par nodokļu samaksas termiņa pagarināšanu vai atlikšanu vai citus objektīvus pierādījumus par nodokļu parādu neesību;".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7.5.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"7.5. tam nav ar tiesas nolēmumu pasludināts maksātnespējas process, ar tiesas nolēmumu netiek īstenots tiesiskās vai ārpustiesas tiesiskās aizsardzības process, nav uzsākta bankrota procedūra, kā arī tā saimnieciskā darbība nav izbeigta;".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7.6.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 tas nav sodīts par Imigrācijas likuma 68.</w:t>
      </w:r>
      <w:r w:rsidR="00000000" w:rsidRPr="00000000" w:rsidDel="00000000">
        <w:rPr>
          <w:vertAlign w:val="superscript"/>
          <w:rtl w:val="0"/>
        </w:rPr>
        <w:t xml:space="preserve">4</w:t>
      </w:r>
      <w:r w:rsidR="00000000" w:rsidRPr="00000000" w:rsidDel="00000000">
        <w:rPr>
          <w:rtl w:val="0"/>
        </w:rPr>
        <w:t xml:space="preserve"> panta trešajā daļā minēto administratīvo pārkāpumu vai tam nav piemēroti piespiedu ietekmēšanas līdzekļi par Krimināllikuma 280. panta otrajā daļā minētā noziedzīgā nodarījuma izdarīšanu;".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Padomes un atbalsta pretendenta atbalsta līguma parakstīšanas diena ir uzskatāma par valsts atbalsta piešķiršanas datumu."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10.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Ja konstatē, ka valsts atbalsts vai valsts līdzfinansējums ir piešķirts kā nelikumīgs komercdarbības atbalsts, projekta īstenotājam ir pienākums atmaksāt padomei projekta ietvaros saņemto nelikumīgo komercdarbības atbalstu atbilstoši Komercdarbības atbalsta kontroles likuma IV un V nodaļas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Atbalsta pretendents iesniedz padomē pieteikumu atbalsta līguma noslēgšanai, ievērojot šo noteikumu 12.1.1.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Padome: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 izstrādā un pēc saskaņošanas ar Izglītības un zinātnes ministriju un apstiprināšanas projektu vērtēšanas komisijā (turpmāk – komisija), izņemot šo noteikumu 4.1.5. un 4.2. apakšpunktā minētās aktivitātes, 15 darbdienu laikā no šo noteikumu spēkā stāšanās dienas publicē savā tīmekļvietnē: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12.1.1. pieteikuma veidlapu un pievienojamo dokumentāciju;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12.1.2. pieteikuma vērtēšanas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12.1.3. veidlapu līgumam par valsts līdzfinansējuma piešķiršanu projekta īstenošanai un veidlapu līgumam par valsts atbalsta piešķiršanu projekta īstenošanai (turpmāk – atbalsta līgums), kas ietver attiecināmo izmaksu pozīcijas un to procentuālo sadalījumu, kā arī atbalsta līguma noslēgšanas kārtību un termiņu;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12.2. reģistrē pieteikumus;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12.3. slēdz atbalsta līgumu ar atbalsta pretendentu;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12.4. sagatavo un sniedz Izglītības un zinātnes ministrijai: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12.4.1. informāciju par valsts budžeta līdzekļu plānošanu projekta īstenošanai;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12.4.2. valsts budžeta līdzekļu pieprasījuma prognozi nākamajam gadam;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12.4.3. informāciju par atbalsta apguves gaitu, pamatojoties uz rakstisku pieprasījumu;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12.5. izskata un pēc saskaņošanas ar komisiju veic atbalsta līguma grozījumus atbilstoši šo noteikumu 19.11. un 19.12. apakšpunktam;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12.6. pamatojoties uz šo noteikumu 19.10. apakšpunktā minēto lēmumu, atgūst neatbilstoši veiktos izdevumus;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12.7. sniedz projekta īstenotājam informāciju un konsultācijas par atbalsta apguves jautājumiem;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12.8. sniedz sabiedrībai informāciju un nodrošina publicitāti jautājumos, kas saistīti ar projektu īstenošanu atbilstoši šiem noteikumiem;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12.9. nodrošina valsts atbalsta uzskaiti un informācijas glabāšanu 10 gadus atbilstoši regulas Nr.  651/2014 12. pantam, tādējādi veicot valsts atbalsta uzraudzību;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12.10. pārbauda valsts atbalsta stimulējošo ietekmi atbilstoši regulas Nr.  651/2014 6. panta 2. punkta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12.11. nodrošina informācijas publicēšanu atbilstoši Komisijas regulas Nr.  651/2014 9. panta 1. un 4. 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12.12. nodrošina regulas Nr.  651/2014 4. panta 1. punkta "i" apakšpunktā minētās paziņošanas robežvērtības nosacījumu izpildes ievērošanu katra projekta ietvaros, par kuru noslēgts atbalsta līgums;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12.13. pieprasa no projekta īstenotāja informāciju par projekta īstenošanas gaitu un sasniegto rezultātu atbilstību plānotajiem rezultātiem, izņemot gadījumu, ja projekta ieviešanai piešķir valsts līdzfinansējumu un līgums ar Eiropas Komisiju vai kopuzņēmumu paredz projekta ārējo auditu. Šādā gadījumā projekta īstenotājs iesniedz padomei tikai minētā audita ziņojuma un projekta vai projekta posma īstenošanas gaitas apraksta (</w:t>
      </w:r>
      <w:r w:rsidR="00000000" w:rsidRPr="00000000" w:rsidDel="00000000">
        <w:rPr>
          <w:i w:val="1"/>
          <w:rtl w:val="0"/>
        </w:rPr>
        <w:t xml:space="preserve">Final Report</w:t>
      </w:r>
      <w:r w:rsidR="00000000" w:rsidRPr="00000000" w:rsidDel="00000000">
        <w:rPr>
          <w:rtl w:val="0"/>
        </w:rPr>
        <w:t xml:space="preserve"> vai </w:t>
      </w:r>
      <w:r w:rsidR="00000000" w:rsidRPr="00000000" w:rsidDel="00000000">
        <w:rPr>
          <w:i w:val="1"/>
          <w:rtl w:val="0"/>
        </w:rPr>
        <w:t xml:space="preserve">Periodic Report</w:t>
      </w:r>
      <w:r w:rsidR="00000000" w:rsidRPr="00000000" w:rsidDel="00000000">
        <w:rPr>
          <w:rtl w:val="0"/>
        </w:rPr>
        <w:t xml:space="preserve">) kopiju;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12.14. veic komisijas sekretariāta funkcijas;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12.15. elektroniski no Iekšlietu ministrijas Informācijas centra (Sodu reģistra) iegūst informāciju par atbalsta pretendenta atbilstību šo noteikumu 7.6. apakšpunktā minētajām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12.16. slēdz atbalsta līgumu par valsts atbalsta piešķiršanu, ja līguma slēgšanas dienā atbalsta pretendents atbilst visiem šajos noteikumos ietvertajiem regulas Nr. 651/2014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Šo noteikumu 4.1.1., 4.1.2., 4.1.3., 4.1.4., 4.1.5., 4.1.6., 4.1.7. un 4.1.8. apakšpunktā minētā projekta attiecināmās izmaksas ir šādas: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 ja tiek piešķirts valsts līdzfinansējums: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13.1.1. projekta tiešās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13.1.1.1. projekta izpildē nodarbinātā personāla izmaksas – atalgojums, kā arī citi normatīvajos aktos noteiktie darba ņēmēja labā obligāti veicamie maksājumi, tai skaitā darba devēja valsts sociālās apdrošināšanas iemaksas. Projekta izpildē nodarbinātajam personālam ir noteiktas šādas atalgojuma likmes, neskaitot darba devēja valsts sociālās apdrošināšanas obligātās iemaksas: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13.1.1.1.1. projekta zinātniskajam vadītājam (darbinieks, kurš plāno un vada projektu vai apakšprojektu, nodrošina tā īstenošanu un atbild par tā izpildi kopumā) – līdz 30</w:t>
      </w:r>
      <w:r w:rsidR="00000000" w:rsidRPr="00000000" w:rsidDel="00000000">
        <w:rPr>
          <w:i w:val="1"/>
          <w:rtl w:val="0"/>
        </w:rPr>
        <w:t xml:space="preserve"> euro </w:t>
      </w:r>
      <w:r w:rsidR="00000000" w:rsidRPr="00000000" w:rsidDel="00000000">
        <w:rPr>
          <w:rtl w:val="0"/>
        </w:rPr>
        <w:t xml:space="preserve">stundā;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13.1.1.1.2. projekta galvenajam izpildītājam (darbinieks, kurš ir iesaistīts projekta īstenošanā un atbild par nozīmīgu tā daļu izpildi) – līdz 24 </w:t>
      </w:r>
      <w:r w:rsidR="00000000" w:rsidRPr="00000000" w:rsidDel="00000000">
        <w:rPr>
          <w:i w:val="1"/>
          <w:rtl w:val="0"/>
        </w:rPr>
        <w:t xml:space="preserve">euro </w:t>
      </w:r>
      <w:r w:rsidR="00000000" w:rsidRPr="00000000" w:rsidDel="00000000">
        <w:rPr>
          <w:rtl w:val="0"/>
        </w:rPr>
        <w:t xml:space="preserve">stundā;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13.1.1.1.3. projekta izpildītājam (darbinieks, kas veic konkrētus uzdevumus projekta izpildē) – līdz 19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13.1.1.2. personāla komandējumu un darba braucienu izmaksas saskaņā ar normatīvajiem aktiem par kārtību, kādā atlīdzināmi ar komandējumiem saistītie izdevumi;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13.1.1.3. zinātniskā aprīkojuma un iekārtu (pamatlīdzekļi) izmaksas, ciktāl un cik ilgi tos izmanto projekta īstenošanai. Ja šo aprīkojumu un iekārtu lietošanas laiks projektā neaptver visu amortizācijas periodu, par attiecināmām uzskata tikai tās amortizācijas izmaksas, kas aptver laikposmu, kad aprīkojums un iekārtas izmantotas projektā, un kas ir aprēķinātas saskaņā ar labu grāmatvedības praksi;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13.1.1.4. ārpakalpojumu izmaksas, tostarp par līgumpētījumiem, zināšanām, konsultantu pakalpojumiem un citiem pakalpojumiem, kas nepieciešami projekta darba uzdevumu veikšanai, ja ārpakalpojumu sniedz atbilstoši iepirkuma procedūru regulējošajiem normatīvajiem aktiem. Šīs izmaksas nedrīkst pārsniegt 25 procentus no projekta kopējām tiešajām izmaksām;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13.1.1.5. maksa par inventāru, instrumentiem un materiāliem (piemēram, ķimikālijām, laboratorijas traukiem, medikamentiem), ciktāl un cik ilgi tos izmanto projektā, kā arī to iegādes un piegādes izmaksas, kas ir uzskaitītas saskaņā ar grāmatvedības uzskaiti reglamentējošajiem normatīvajiem aktiem un ir tieši attiecināmas uz projekta īstenošanu;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13.1.1.6. citas tiešās izmaksas, kas nav norādītas šo noteikumu 13.1.1.1., 13.1.1.2., 13.1.1.3., 13.1.1.4. un 13.1.1.5. apakšpunktā, tostarp patentu un citu nemateriālo aktīvu iegūšanas, apstiprināšanas un aizstāvēšanas izmaksas, kas ir nepieciešamas tiešo projekta mērķu sasniegšanai;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13.1.2. projekta netiešās izmaksas, kas projekta dalībniekam radušās, īstenojot šo noteikumu 4.1.1., 4.1.2., 4.1.3., 4.1.4., 4.1.6., 4.1.7. un 4.1.8. apakšpunktā minēto projektu atbilstoši regulas Nr. 1290/2013 29. panta 1. punktam un 57. panta 2. punktam vai atbilstoši regulas Nr. 2021/695 35. panta 1. punktam, kā arī šo noteikumu 4.2.3. vai 4.2.7. apakšpunktā minētos pētījumu posmus, nepārsniedz 25 procentus no projekta tiešo izmaksu summas, kurā nav ieskaitītas šo noteikumu 13.1.1.4. apakšpunktā norādītās ārpakalpojumu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ja tiek piešķirts valsts atbalsts: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13.2.1. projekta izpildē nodarbinātā personāla izmaksas – atalgojums, kā arī citi normatīvajos aktos noteiktie darba ņēmēja labā obligāti veicamie maksājumi, tai skaitā darba devēja valsts sociālās apdrošināšanas iemaksas. Projekta izpildē nodarbinātajam personālam ir noteiktas šo noteikumu 13.1.1.1. apakšpunktā norādītās atalgojuma likmes;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13.2.2. izmaksas par instrumentiem un aprīkojumu, ciktāl un cik ilgi to izmanto projektā. Ja aprīkojuma un iekārtu lietošanas laiks projektā neaptver visu amortizācijas periodu, par attiecināmām izmaksām uzskata tikai tās amortizācijas izmaksas, kas atbilst projekta ilgumam un ir aprēķinātas saskaņā ar labu grāmatvedības praksi;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13.2.3. izmaksas par ēkām un zemi, ciktāl un cik ilgi to izmanto projektā. Attiecībā uz ēkām par attiecināmām izmaksām uzskata tikai tās amortizācijas izmaksas, kas atbilst projekta ilgumam un ir aprēķinātas saskaņā ar labu grāmatvedības praksi. Attiecībā uz zemi par attiecināmām izmaksām uzskata komerciālās nodošanas izmaksas vai faktiski veikto kapitālieguldījumu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13.2.4. izmaksas par līgumpētījumiem, zināšanām un patentiem, kas iegādāti vai kuru licences saņemtas no ārējiem avotiem godīgas konkurences apstākļos, kā arī izmaksas par konsultantu pakalpojumiem un līdzvērtīgiem pakalpojumiem, kas izmantoti vienīgi projekta mērķiem, ievērojot regulas Nr.  651/2014 25. panta 3. punkta "d" apakšpunktā noteikto;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13.2.5. </w:t>
      </w:r>
      <w:r w:rsidR="00000000" w:rsidRPr="00000000" w:rsidDel="00000000">
        <w:rPr>
          <w:rtl w:val="0"/>
        </w:rPr>
        <w:t xml:space="preserve">(svītrots ar MK 11.09.2018. noteikumiem Nr. 570)</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13.2.6. papildu netiešās izmaksas un citi izdevumi, tostarp materiālu, piederumu un līdzīgu produktu izmaksas, kas radušās projekta īstenošanas gaitā, ievērojot regulas Nr.  651/2014 25. panta 3. punkta "e" apakšpunktā noteikto."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III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"III. Atbalsts dalībai kopīgo programmu, kopuzņēmumu, Eiropas partnerību un EUREKA programmas klasteru projektos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Padome, ievērojot komisijas lēmumu, piešķir valsts atbalstu atbilstoši regulas Nr. 651/2014 25. pantam vai valsts līdzfinansējumu šo noteikumu 4.1.1., 4.1.2., 4.1.3., 4.1.4., 4.1.7. un 4.1.8. apakšpunktā minētajiem projektiem un projektu īstenotājiem: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 ja attiecīgā projektu konkursa ietvaros projekts ir sasniedzis nepieciešamo novērtējumu atbalsta saņemšanai, ko apliecina viens no šādiem dokumentiem: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14.1.1. kopīgās programmas, kopuzņēmuma, Eiropas partnerības vai EUREKA programmas klastera lēmējinstitūcijas paziņojums vai finansēšanas rekomendācija (lēmums), vai Eiropas partnerības projektu konkursa vadības komitejas lēmums;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14.1.2. atbalsta pretendenta un Eiropas Komisijas vai atbalsta pretendenta un kopīgo programmu, Eiropas partnerību vai kopuzņēmumu administrējošās institūcijas noslēgts līgums par projekta īstenošanu, ja atbilstoši šo noteikumu 19.2. apakšpunktam ir noteikts nacionālais finansējums, nodrošinot publisku finansējumu projekta īstenošanai;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14.1.3. iestādes, kas izpilda nacionālās finansēšanas institūcijas funkcijas, un atbalsta pretendenta noslēgts līgums par publiskā finansējuma piešķiršanu projekta īstenošanai;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 ja atbalsta pretendentus, kuriem saskaņā ar šo punktu paredz piešķirt valsts atbalstu, vērtē atbilstoši šo noteikumu II nodaļas prasībām, ievērojot šo noteikumu 12.1.2.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Padome piešķir valsts līdzfinansējumu dalības nodrošināšanai tajā </w:t>
      </w:r>
      <w:r w:rsidR="00000000" w:rsidRPr="00000000" w:rsidDel="00000000">
        <w:rPr>
          <w:i w:val="1"/>
          <w:rtl w:val="0"/>
        </w:rPr>
        <w:t xml:space="preserve">COST</w:t>
      </w:r>
      <w:r w:rsidR="00000000" w:rsidRPr="00000000" w:rsidDel="00000000">
        <w:rPr>
          <w:rtl w:val="0"/>
        </w:rPr>
        <w:t xml:space="preserve"> aktivitātē, par kuras īstenošanu ir noslēgts saprašanās memorands un ir nominēti Latvijas pārstāvji </w:t>
      </w:r>
      <w:r w:rsidR="00000000" w:rsidRPr="00000000" w:rsidDel="00000000">
        <w:rPr>
          <w:i w:val="1"/>
          <w:rtl w:val="0"/>
        </w:rPr>
        <w:t xml:space="preserve">COST</w:t>
      </w:r>
      <w:r w:rsidR="00000000" w:rsidRPr="00000000" w:rsidDel="00000000">
        <w:rPr>
          <w:rtl w:val="0"/>
        </w:rPr>
        <w:t xml:space="preserve"> aktivitātes vadības komitejā."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Valsts līdzfinansējuma saņemšanai </w:t>
      </w:r>
      <w:r w:rsidR="00000000" w:rsidRPr="00000000" w:rsidDel="00000000">
        <w:rPr>
          <w:i w:val="1"/>
          <w:rtl w:val="0"/>
        </w:rPr>
        <w:t xml:space="preserve">COST</w:t>
      </w:r>
      <w:r w:rsidR="00000000" w:rsidRPr="00000000" w:rsidDel="00000000">
        <w:rPr>
          <w:rtl w:val="0"/>
        </w:rPr>
        <w:t xml:space="preserve"> aktivitātes vadības komitejas pārstāvis iesniedz padomē personīgi vai nosūta pa pastu vai uz padomes oficiālo elektroniskā pasta adresi, ja šim pārstāvim ir aktivizēts oficiālās elektroniskā pasta adreses konts: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 iesniegumu atbalsta saņemšanai dalībai </w:t>
      </w:r>
      <w:r w:rsidR="00000000" w:rsidRPr="00000000" w:rsidDel="00000000">
        <w:rPr>
          <w:i w:val="1"/>
          <w:rtl w:val="0"/>
        </w:rPr>
        <w:t xml:space="preserve">COST</w:t>
      </w:r>
      <w:r w:rsidR="00000000" w:rsidRPr="00000000" w:rsidDel="00000000">
        <w:rPr>
          <w:rtl w:val="0"/>
        </w:rPr>
        <w:t xml:space="preserve"> akcijā (1.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16.2. </w:t>
      </w:r>
      <w:r w:rsidR="00000000" w:rsidRPr="00000000" w:rsidDel="00000000">
        <w:rPr>
          <w:i w:val="1"/>
          <w:rtl w:val="0"/>
        </w:rPr>
        <w:t xml:space="preserve">COST</w:t>
      </w:r>
      <w:r w:rsidR="00000000" w:rsidRPr="00000000" w:rsidDel="00000000">
        <w:rPr>
          <w:rtl w:val="0"/>
        </w:rPr>
        <w:t xml:space="preserve"> aktivitātei nepieciešamā finansējuma aprēķinu gadam (2.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Lai nodrošinātu dalību </w:t>
      </w:r>
      <w:r w:rsidR="00000000" w:rsidRPr="00000000" w:rsidDel="00000000">
        <w:rPr>
          <w:i w:val="1"/>
          <w:rtl w:val="0"/>
        </w:rPr>
        <w:t xml:space="preserve">COST</w:t>
      </w:r>
      <w:r w:rsidR="00000000" w:rsidRPr="00000000" w:rsidDel="00000000">
        <w:rPr>
          <w:rtl w:val="0"/>
        </w:rPr>
        <w:t xml:space="preserve"> aktivitātē, padome piešķir valsts līdzfinansējumu atbilstoši šo noteikumu 1. un 2. pielikumam, bet ne vairāk kā 5000 </w:t>
      </w:r>
      <w:r w:rsidR="00000000" w:rsidRPr="00000000" w:rsidDel="00000000">
        <w:rPr>
          <w:i w:val="1"/>
          <w:rtl w:val="0"/>
        </w:rPr>
        <w:t xml:space="preserve">euro</w:t>
      </w:r>
      <w:r w:rsidR="00000000" w:rsidRPr="00000000" w:rsidDel="00000000">
        <w:rPr>
          <w:rtl w:val="0"/>
        </w:rPr>
        <w:t xml:space="preserve"> gadā (izņemot izmaksas, kas saistītas ar </w:t>
      </w:r>
      <w:r w:rsidR="00000000" w:rsidRPr="00000000" w:rsidDel="00000000">
        <w:rPr>
          <w:i w:val="1"/>
          <w:rtl w:val="0"/>
        </w:rPr>
        <w:t xml:space="preserve">COST</w:t>
      </w:r>
      <w:r w:rsidR="00000000" w:rsidRPr="00000000" w:rsidDel="00000000">
        <w:rPr>
          <w:rtl w:val="0"/>
        </w:rPr>
        <w:t xml:space="preserve"> aktivitātes ietvaros plānoto starptautisko pasākumu organizēšanu Latvijā un to norisi) šādu izdevumu segšanai: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17.1. dalībai </w:t>
      </w:r>
      <w:r w:rsidR="00000000" w:rsidRPr="00000000" w:rsidDel="00000000">
        <w:rPr>
          <w:i w:val="1"/>
          <w:rtl w:val="0"/>
        </w:rPr>
        <w:t xml:space="preserve">COST</w:t>
      </w:r>
      <w:r w:rsidR="00000000" w:rsidRPr="00000000" w:rsidDel="00000000">
        <w:rPr>
          <w:rtl w:val="0"/>
        </w:rPr>
        <w:t xml:space="preserve"> aktivitātes vadības komitejas sanāksmēs tiem speciālistiem, kuri nav apstiprināti kā Latvijas pārstāvji aktivitātes vadības komitejā;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 dalībai </w:t>
      </w:r>
      <w:r w:rsidR="00000000" w:rsidRPr="00000000" w:rsidDel="00000000">
        <w:rPr>
          <w:i w:val="1"/>
          <w:rtl w:val="0"/>
        </w:rPr>
        <w:t xml:space="preserve">COST</w:t>
      </w:r>
      <w:r w:rsidR="00000000" w:rsidRPr="00000000" w:rsidDel="00000000">
        <w:rPr>
          <w:rtl w:val="0"/>
        </w:rPr>
        <w:t xml:space="preserve"> aktivitātes darba grupu sēdēs;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17.3. dalībai </w:t>
      </w:r>
      <w:r w:rsidR="00000000" w:rsidRPr="00000000" w:rsidDel="00000000">
        <w:rPr>
          <w:i w:val="1"/>
          <w:rtl w:val="0"/>
        </w:rPr>
        <w:t xml:space="preserve">COST</w:t>
      </w:r>
      <w:r w:rsidR="00000000" w:rsidRPr="00000000" w:rsidDel="00000000">
        <w:rPr>
          <w:rtl w:val="0"/>
        </w:rPr>
        <w:t xml:space="preserve"> aktivitātes ietvaros organizētajos pasākumos (konferencēs, semināros un apmācības pasākumos);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17.4. </w:t>
      </w:r>
      <w:r w:rsidR="00000000" w:rsidRPr="00000000" w:rsidDel="00000000">
        <w:rPr>
          <w:i w:val="1"/>
          <w:rtl w:val="0"/>
        </w:rPr>
        <w:t xml:space="preserve">COST</w:t>
      </w:r>
      <w:r w:rsidR="00000000" w:rsidRPr="00000000" w:rsidDel="00000000">
        <w:rPr>
          <w:rtl w:val="0"/>
        </w:rPr>
        <w:t xml:space="preserve"> aktivitātes koordinatora funkciju izpildei, līdzfinansējot šīs aktivitātes administrēšanas izdevumus un sedzot pievienotās vērtības nodokļa izdevumus;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17.5. </w:t>
      </w:r>
      <w:r w:rsidR="00000000" w:rsidRPr="00000000" w:rsidDel="00000000">
        <w:rPr>
          <w:i w:val="1"/>
          <w:rtl w:val="0"/>
        </w:rPr>
        <w:t xml:space="preserve">COST</w:t>
      </w:r>
      <w:r w:rsidR="00000000" w:rsidRPr="00000000" w:rsidDel="00000000">
        <w:rPr>
          <w:rtl w:val="0"/>
        </w:rPr>
        <w:t xml:space="preserve"> aktivitātes ietvaros plānoto starptautisko pasākumu (konferences, semināri, apmācības pasākumi un vasaras skolas) organizēšanai un norisei Latvijā."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Padome piešķir valsts līdzfinansējumu </w:t>
      </w:r>
      <w:r w:rsidR="00000000" w:rsidRPr="00000000" w:rsidDel="00000000">
        <w:rPr>
          <w:i w:val="1"/>
          <w:rtl w:val="0"/>
        </w:rPr>
        <w:t xml:space="preserve">ERA-NET</w:t>
      </w:r>
      <w:r w:rsidR="00000000" w:rsidRPr="00000000" w:rsidDel="00000000">
        <w:rPr>
          <w:rtl w:val="0"/>
        </w:rPr>
        <w:t xml:space="preserve"> aktivitātes ietvaros atbalstītam projektam,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18.1. tas iesniegts </w:t>
      </w:r>
      <w:r w:rsidR="00000000" w:rsidRPr="00000000" w:rsidDel="00000000">
        <w:rPr>
          <w:i w:val="1"/>
          <w:rtl w:val="0"/>
        </w:rPr>
        <w:t xml:space="preserve">ERA-NET</w:t>
      </w:r>
      <w:r w:rsidR="00000000" w:rsidRPr="00000000" w:rsidDel="00000000">
        <w:rPr>
          <w:rtl w:val="0"/>
        </w:rPr>
        <w:t xml:space="preserve"> aktivitātes ietvaros atvērtā projektu konkursā, izvērtēts un saņēmis attiecīgās </w:t>
      </w:r>
      <w:r w:rsidR="00000000" w:rsidRPr="00000000" w:rsidDel="00000000">
        <w:rPr>
          <w:i w:val="1"/>
          <w:rtl w:val="0"/>
        </w:rPr>
        <w:t xml:space="preserve">ERA-NET</w:t>
      </w:r>
      <w:r w:rsidR="00000000" w:rsidRPr="00000000" w:rsidDel="00000000">
        <w:rPr>
          <w:rtl w:val="0"/>
        </w:rPr>
        <w:t xml:space="preserve"> aktivitātes konsorcija rekomendāciju ieviešanai;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18.2. par tā īstenošanu visi attiecīgās </w:t>
      </w:r>
      <w:r w:rsidR="00000000" w:rsidRPr="00000000" w:rsidDel="00000000">
        <w:rPr>
          <w:i w:val="1"/>
          <w:rtl w:val="0"/>
        </w:rPr>
        <w:t xml:space="preserve">ERA-NET</w:t>
      </w:r>
      <w:r w:rsidR="00000000" w:rsidRPr="00000000" w:rsidDel="00000000">
        <w:rPr>
          <w:rtl w:val="0"/>
        </w:rPr>
        <w:t xml:space="preserve"> aktivitātes projekta dalībnieki ir parakstījuši konsorcija (sadarbības) līgumu."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Svītrot 19.1.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Izteikt 19.2.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"19.2. valsts budžeta finansējuma apmēru dalībai Eiropas partnerības, kopīgās programmas, kopuzņēmuma vai </w:t>
      </w:r>
      <w:r w:rsidR="00000000" w:rsidRPr="00000000" w:rsidDel="00000000">
        <w:rPr>
          <w:i w:val="1"/>
          <w:rtl w:val="0"/>
        </w:rPr>
        <w:t xml:space="preserve">ERA-NET </w:t>
      </w:r>
      <w:r w:rsidR="00000000" w:rsidRPr="00000000" w:rsidDel="00000000">
        <w:rPr>
          <w:rtl w:val="0"/>
        </w:rPr>
        <w:t xml:space="preserve">aktivitātes ietvaros atvērtajos projektu konkursos (uzsaukumos);".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Izteikt 19.13.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"19.13. dalību Eiropas partnerības projekta izstrādē vai pievienošanos Eiropas partnerības projekta konsorcijam."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Padome izstrādā komisijas nolikumu. Pirms apstiprināšanas padome nolikumu saskaņo ar Izglītības un zinātnes ministriju. Izglītības un zinātnes ministrs izveido komisiju, kuras sastāvā ir Izglītības un zinātnes ministrijas, Ekonomikas ministrijas un nozaru ministriju, Latvijas Zinātņu akadēmijas un padomes deleģēti pārstāvji. Komisijas sēdēs ar padomdevēja un eksperta tiesībām var uzaicināt arī citu ministriju, kā arī zinātnisko institūciju un uzņēmumus pārstāvošo organizāciju deleģētus pārstāvjus."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Komisija šo noteikumu 19.3., 19.4., 19.5., 19.6., 19.7., 19.8., 19.9., 19.10., 19.11. un 19.12. apakšpunktā minēto lēmumu pieņem mēneša laikā no pieteikuma saņemšanas dienas padomē. Padome attiecīgo komisijas lēmumu paziņo atbalsta pretendentam 10 darbdienu laikā no lēmuma pieņemšanas dienas, nosūtot to uz atbalsta pretendenta norādīto oficiālo elektroniskā pasta adresi, ja atbalsta pretendentam ir aktivizēts oficiālās elektroniskā pasta adreses konts, vai pa pastu."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ministra pienākumu izpildītājs ‒ Ministru prezidenta biedrs, tieslietu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Bordāns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21-TA-1376</w:t>
    </w:r>
    <w:r>
      <w:br/>
    </w:r>
    <w:r w:rsidR="00000000" w:rsidRPr="00000000" w:rsidDel="00000000">
      <w:rPr>
        <w:rtl w:val="0"/>
      </w:rPr>
      <w:t xml:space="preserve">Izdrukāts 29.07.2026. 22.23 - 1.0.VK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21-TA-1376</w:t>
    </w:r>
    <w:r>
      <w:br/>
    </w:r>
    <w:r w:rsidR="00000000" w:rsidRPr="00000000" w:rsidDel="00000000">
      <w:rPr>
        <w:rtl w:val="0"/>
      </w:rPr>
      <w:t xml:space="preserve">Izdrukāts 29.07.2026. 22.23 - 1.0.VK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noteikumu_(grozījumu)_projekts_21-TA-1376.docx</dc:title>
</cp:coreProperties>
</file>

<file path=docProps/custom.xml><?xml version="1.0" encoding="utf-8"?>
<Properties xmlns="http://schemas.openxmlformats.org/officeDocument/2006/custom-properties" xmlns:vt="http://schemas.openxmlformats.org/officeDocument/2006/docPropsVTypes"/>
</file>