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jūlijā (prot. Nr. 35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 uz Ekonomikas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likuma "Par valsts budžetu 2023. gadam un budžeta ietvaru 2023., 2024. un 2025. gadam" 66. pantu</w:t>
      </w:r>
      <w:r w:rsidR="00000000" w:rsidRPr="00000000" w:rsidDel="00000000">
        <w:rPr>
          <w:rtl w:val="0"/>
        </w:rPr>
        <w:t xml:space="preserve">, atbalstīt apropriācijas pārdali 2 000 000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Ekonomikas ministrijas budžeta programmu 35.00.00 "Valsts atbalsta programmas", lai sniegtu atbalstu Ukrainas Čerņihivas apgabala rekonstrukcijai.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23-TA-1404</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23-TA-1404</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rīkojuma_projekts_23-TA-1404.docx</dc:title>
</cp:coreProperties>
</file>

<file path=docProps/custom.xml><?xml version="1.0" encoding="utf-8"?>
<Properties xmlns="http://schemas.openxmlformats.org/officeDocument/2006/custom-properties" xmlns:vt="http://schemas.openxmlformats.org/officeDocument/2006/docPropsVTypes"/>
</file>