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pirmo un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īsteno un uzrauga Eiropas Savienības Atveseļošanas un noturības mehānisma (turpmāk – Atveseļošanas fonds) plāna 1. komponentes "Klimata pārmaiņas un vides ilgtspēja" 1.1. reformu un investīciju virziena "Emisiju samazināšana transporta sektorā" 1.1.1.r. reformas "Rīgas metropoles areāla transporta sistēmas zaļināšana" (turpmāk – reforma) 1.1.1.1.i. investīcijas "Konkurētspējīgs dzelzceļa pasažieru transports kopējā Rīgas pilsētas sabiedriskā transporta sistēmā" 1.1.1.1.i.1., 1.1.1.1.i.2. un 1.1.1.1.i.3. saistītos pasākumus (turpmāk – investīcija),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investīcijas mērķi un mērķa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investīcijai pieejamo finansējumu un sasniedzamos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ieviešanā iesaistītās institūcijas, to pienākumus un atbildību;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mērķis ir uzlabot pasažieru infrastruktūru, izbūvējot Rīgas Centrālās dzelzceļa stacijas dienvidu daļu, kā arī uzlabot valsts bezemisiju publiskās lietošanas dzelzceļa infrastruktūru, modernizējot dzelzceļa elektrificēto tīklu līnijās Rīga–Zemitāni un Rīga–Priedaine un attīstot līniju Zasulauks–Bolderāja, lai veicinātu iedzīvotāju pārvietošanās paradumu maiņu un samazinātu sabiedriskā transporta negatīvo ietekmi uz vidi.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mērķa grupa ir satiksmes dalībnieki un iedzīvotāji.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Investīciju īsteno šādu projektu iesniegumu atlases kārtu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projektu iesniegumu atlases kārtas ietvaros finansējuma saņēmējs ir valsts akciju sabiedrība "Latvijas dzelzceļš";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otrās projektu iesniegumu atlases kārtas ietvaros finansējuma saņēmējs ir sabiedrība ar ierobežotu atbildību "EIROPAS DZELZCEĻA LĪNIJAS".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Investīcijas pirmās projektu iesniegumu atlases kārtas ietvaros ir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31. martam sasniedzamais mērķis: izveidoto elektrificēto dzelzceļa līniju un modernizēto esošo dzelzceļa līniju garums pasažieru pārvadāšanai – 100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 sasniedzamais uzraudzības rādītājs: parakstīti visi iepirkuma līgumi par to kopējo dzelzceļa posmu garumu, kas izveidojami vai atjaunojami saskaņā ar 1.1.1.1.i. investīciju.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Investīcijas otrās projektu iesniegumu atlases kārtas ietvaros ir sasniedzami šādi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31. augustam sasniedzamais atskaites punkts: izbūvēta Rīgas Centrālās dzelzceļa stacijas dienvidu daļa;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2025. gada 31. martam sasniedzamais uzraudzības rādītājs: parakstīti visi iepirkuma līgumi.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Investīcijas pirmās projektu iesniegumu atlases kārtas ietvaros pieejamais Atveseļošanas fonda finansējums ir 72 700 000 </w:t>
      </w:r>
      <w:r w:rsidR="00000000" w:rsidRPr="00000000" w:rsidDel="00000000">
        <w:rPr>
          <w:i w:val="1"/>
          <w:rtl w:val="0"/>
        </w:rPr>
        <w:t xml:space="preserve">euro</w:t>
      </w:r>
      <w:r w:rsidR="00000000" w:rsidRPr="00000000" w:rsidDel="00000000">
        <w:rPr>
          <w:rtl w:val="0"/>
        </w:rPr>
        <w:t xml:space="preserve">, kas tiek piešķirts granta veidā, sasniedzot investīcijas mērķi 100 %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Investīcijas otrās projektu iesniegumu atlases kārtas ietvaros pieejamais Atveseļošanas fonda finansējums ir 114 627 980 </w:t>
      </w:r>
      <w:r w:rsidR="00000000" w:rsidRPr="00000000" w:rsidDel="00000000">
        <w:rPr>
          <w:i w:val="1"/>
          <w:rtl w:val="0"/>
        </w:rPr>
        <w:t xml:space="preserve">euro</w:t>
      </w:r>
      <w:r w:rsidR="00000000" w:rsidRPr="00000000" w:rsidDel="00000000">
        <w:rPr>
          <w:rtl w:val="0"/>
        </w:rPr>
        <w:t xml:space="preserve">, kas tiek piešķirts granta veidā, sasniedzot investīcijas mērķi 100 %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Investīcijas pirmās projektu iesniegumu atlases kārtas izdevumu attiecināmības termiņš ir 2026. gada 31. marts.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Investīcijas otrās projektu iesniegumu atlases kārtas izdevumu attiecināmības termiņš ir 2026. gada 31. augusts.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Satiksmes ministrija kā nozares ministrija ir atbildīga par investīcijas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Centrālā finanšu un līgumu aģentūra (turpmāk – aģentūra) slēdz  līgumu par projekta īstenošanu ar finansējuma saņēmēju  (turpmāk – līgums) un piešķir investīcijas atbalstu saskaņā ar šajos noteikumos minētajiem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Aģentūra atbilstoši Ministru kabineta 2021. gada 7. septembra noteikumiem Nr. 621 "Eiropas Savienības Atveseļošanas un noturības mehānisma plāna īstenošanas un uzraudzības kārtība" (turpmāk – noteikumi Nr. 621) nodrošina investīcijas īstenošanas uzraudzību.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Satiksmes ministrija nodrošina komunikācijas un publicitātes pasākumus saskaņā ar </w:t>
      </w:r>
      <w:r w:rsidR="00000000" w:rsidRPr="00000000" w:rsidDel="00000000">
        <w:rPr>
          <w:rtl w:val="0"/>
        </w:rPr>
        <w:t xml:space="preserve">Eiropas Parlamenta un Padomes 2021. gada 12. februāra Regulas (ES) Nr. 2021/241, ar ko izveido Atveseļošanas un noturības mehānismu </w:t>
      </w:r>
      <w:r w:rsidR="00000000" w:rsidRPr="00000000" w:rsidDel="00000000">
        <w:rPr>
          <w:rtl w:val="0"/>
        </w:rPr>
        <w:t xml:space="preserve"> (turpmāk – regula Nr. 2021/241), 34. pantu un </w:t>
      </w:r>
      <w:r w:rsidR="00000000" w:rsidRPr="00000000" w:rsidDel="00000000">
        <w:rPr>
          <w:rtl w:val="0"/>
        </w:rPr>
        <w:t xml:space="preserve">Eiropas Komisijas un Latvijas Republikas Atveseļošanas fonda finansēšanas nolīguma</w:t>
      </w:r>
      <w:r w:rsidR="00000000" w:rsidRPr="00000000" w:rsidDel="00000000">
        <w:rPr>
          <w:rtl w:val="0"/>
        </w:rPr>
        <w:t xml:space="preserve"> 10. 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Investīcijas ietvaros atbalstāmas šādas darbības: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bezemisiju dzelzceļa infrastruktūras uzlabošana;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dzelzceļa elektrifikācija un ar to saistītās darbības.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minētās atbalstāmās darbības ietver šādas attiecināmo izmaksu pozīcijas: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 tai skaitā izmaksu un ieguvumu analīzes izstrādes izmaksas un tehniski ekonomiskā pamatojuma izstrādes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būvprojekta, būvdarbu ieceres dokumentācijas, būvprojekta minimālā sastāvā, apliecinājumu kartes vai paskaidrojuma raksta izstrāde visām projektā paredzētajām darbībām un ar to saistīto būvekspertīžu, izpētes, slēdzienu un ekspertīzes izmaksas, ja to veikšana ir priekšnosacījums būvprojekta, būvdarbu ieceres dokumentācijas vai būvprojekta minimālā sastāvā izstrādei;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būvuzraudzības, kā arī apvienotās būvprojekta izstrādes un būvdarbu veikšanas procesa neatkarīgas uzraudzības pakalpojuma izmaksas, autoruzraudzības izmaksas un normatīvajos aktos noteiktās attiecīgo būvspeciālistu obligātās apdrošināšanas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dzelzceļa infrastruktūras būvniecības, pārbūves  un atjaunošanas izmaksas: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elektrotīkla izbūves, pārbūves un nomaiņas izmaksas, nodrošinot priekšnosacījumus migrācijai uz 25 kV elektrifikācijas sistēmu;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elektrificēto līniju kopgaruma palielināšanas izmaksas, elektrificēto sliežu ceļu posmu izbūves un staciju sliežu ceļu plānu uzlabojumu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telekomunikāciju līniju un sistēmu būvniecība, vidēja sprieguma un augstsprieguma līniju kabeļu un krustojumu rekonstrukcija un nomaiņa;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esošo vilcienu kustības sistēmu un signalizācijas sistēmu rekonstrukcija;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dzelzceļa pārvadu un tiltu pārbūve, kontakttīkla būvniecība vai rekonstrukcija;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staciju un staciju ēku būvniecības izmaksas, tai skaitā sliežu ceļu plāna uzlabojumu, pasažieru platformu pārbūves, pasažieru apkalpošanas infrastruktūras, drošu divlīmeņu šķērsojumu un piekļuves platformām izbūves izmaksas un piegulošās teritorijas labiekārtošanas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obligāto ugunsdrošības un citu drošības prasību ievērošanu saistītās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obligāto vides aizsardzības prasību nodrošināšanai paredzēto pasākumu izmaksas, ciktāl to paredz normatīvie akti vides aizsardzības jomā, tostarp ietekmes uz vidi novērtējuma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vides un informācijas piekļūstamības nodrošināšanas izmaksas atbilstoši būvprojekta risinājumam;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izmaksas, kas saistītas ar Atveseļošanas fonda vizuālās identitātes obligāto prasību nodrošināšanu un komunikācijas pasākumiem;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neatkarīga revidenta vai iekšējā auditora piesaistes izmaksas, lai apliecinātu izmaksu pamatotību un mērķa sasniegšanu;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zemes iegādes izmaksas, ja zemes iegāde ir tieši nepieciešama projektā paredzētās būvniecības īstenošanai.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13.13.</w:t>
      </w:r>
      <w:r w:rsidR="00000000" w:rsidRPr="00000000" w:rsidDel="00000000">
        <w:rPr>
          <w:rtl w:val="0"/>
        </w:rPr>
        <w:t xml:space="preserve"> apakšpunktā</w:t>
      </w:r>
      <w:r w:rsidR="00000000" w:rsidRPr="00000000" w:rsidDel="00000000">
        <w:rPr>
          <w:rtl w:val="0"/>
        </w:rPr>
        <w:t xml:space="preserve"> minētās izmaksas ietver finansējuma saņēmēja iekšējā auditora vai neatkarīga revidenta atzinumu (turpmāk – revidenta atzinums) par projekta darbību, mērķu sasniegšanu, maksājumu pieprasījumu izmaksu pamatotību, interešu konflikta, korupcijas un krāpšanas novēršanas nosacījumu ievērošanu projektā un dubultā finansējuma riska novēršanu. Finansējuma saņēmējs  finanšu izlietojuma atbilstības uzraudzībai iesniedz revidenta atzinumu.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Pievienotās vērtības nodokļa izmaksas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minētajām izmaksu pozīcijām nav attiecināmas no Atveseļošanas fonda finansējuma. Pirmās projektu iesniegumu atlases kārtas ietvaros pievienotās vērtības nodokļa izmaksas finansējuma saņēmējs sedz no privātajiem finanšu līdzekļiem, bet otrās projektu iesniegumu atlases kārtas ietvaros – no valsts budžeta finanšu līdzekļiem, ja tās nav atgūstamas saskaņā ar nacionālajiem tiesību aktiem pievienotās vērtības nodokļa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ietvaros radušās izmaksas var uzskatīt par attiecināmām finansēšanai no Atveseļošanas fonda, ja līguma noslēgšanas brīdī darbības nav pabeigtas, tās atbilst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noteiktajām atbalstāmajām darbībām un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noteiktajām attiecināmo izmaksu pozīcijām un pirmās projektu iesniegumu atlases kārtas ietvaros izmaksas ir radušās, sākot ar 2020. gada 1. februāri, bet otrās projektu iesniegumu atlases kārtas ietvaros –, sākot ar 2024.gada 18. decembri.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Investīcijas ieviešanas nosacījumi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Investīcijas ietvaros īstenotais projekts, tai skaitā īstenotās atbalstāmās darbības, ir sasaistītas un veicina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minētās investīcijas mērķa sasniegšanu.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Finansējuma saņēmējs nodrošina, ka projekts un atbalstāmās darbības tiek īstenotas saskaņā ar </w:t>
      </w:r>
      <w:r w:rsidR="00000000" w:rsidRPr="00000000" w:rsidDel="00000000">
        <w:rPr>
          <w:rtl w:val="0"/>
        </w:rPr>
        <w:t xml:space="preserve">regulas Nr. 2021/241</w:t>
      </w:r>
      <w:r w:rsidR="00000000" w:rsidRPr="00000000" w:rsidDel="00000000">
        <w:rPr>
          <w:rtl w:val="0"/>
        </w:rPr>
        <w:t xml:space="preserve"> 2. panta 6. punktu, ievērojot principa "nenodarīt būtisku kaitējumu" prasības: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bezemisiju dzelzceļa infrastruktūras attīstību saistītās infrastruktūras pielāgošana un izveide neizraisa tūlītēju vai nākotnē iespējamu negatīvu klimata ietekmi uz  projektu, cilvēkiem, dabu vai aktīviem (tai skaitā infrastruktūru), kā arī nerada negatīvu ietekmi uz pielāgošanos klimata pārmaiņu mērķu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 projektēšanas stadijā tiek ņemti vērā ar klimata pārmaiņām saistītie riski un tiek noteikti arī ar būvniecību, uzturēšanu un ekspluatāciju saistītie riski;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dzelzceļa infrastruktūras uzlabojumi ietver dzelzceļa tīkla elektrifikācijas sistēmas uzlabošanu, nodrošinot priekšnosacījumus migrācijai no 3.3 kV sistēmas uz 25 kV sistēmu.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Atbalstu finansējuma saņēmējam nesniedz, ja tas atrodas kādā no Eiropas Parlamenta un Padomes 2024. gada 23. septembra Regulas (ES, Euratom) 2024/2509 par finanšu noteikumiem, ko piemēro Savienības vispārējam budžetam (pārstrādāta redakcija) (turpmāk – </w:t>
      </w:r>
      <w:r w:rsidR="00000000" w:rsidRPr="00000000" w:rsidDel="00000000">
        <w:rPr>
          <w:rtl w:val="0"/>
        </w:rPr>
        <w:t xml:space="preserve">regula Nr. 2024/2509</w:t>
      </w:r>
      <w:r w:rsidR="00000000" w:rsidRPr="00000000" w:rsidDel="00000000">
        <w:rPr>
          <w:rtl w:val="0"/>
        </w:rPr>
        <w:t xml:space="preserve">), 138. pantā "Izslēgšanas kritēriji un lēmumi par izslēgšanu" noteiktajām izslēgšanas situācijām.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Finansējuma saņēmējs projekta īstenošanai nepieciešamo informāciju iesniedz Kohēzijas politikas fondu vadības informācijas sistēmā (turpmāk – Vadības informācijas sistēma).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Satiksmes ministrija 10 darbdienu laikā pēc šo noteikumu stāšanās spēkā pirmās projektu iesniegumu atlases kārtas ietvaros nosūta finansējuma saņēmējam uzaicinājumu iesniegt projekta iesniegumu Satiksmes ministrijas noteiktajā termiņā un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Finansējuma saņēmējs pēc šo noteikumu </w:t>
      </w:r>
      <w:r w:rsidR="00000000" w:rsidRPr="00000000" w:rsidDel="00000000">
        <w:rPr>
          <w:rtl w:val="0"/>
        </w:rPr>
        <w:t xml:space="preserve">21.</w:t>
      </w:r>
      <w:r w:rsidR="00000000" w:rsidRPr="00000000" w:rsidDel="00000000">
        <w:rPr>
          <w:rtl w:val="0"/>
        </w:rPr>
        <w:t xml:space="preserve"> punktā</w:t>
      </w:r>
      <w:r w:rsidR="00000000" w:rsidRPr="00000000" w:rsidDel="00000000">
        <w:rPr>
          <w:rtl w:val="0"/>
        </w:rPr>
        <w:t xml:space="preserve"> minētā uzaicinājuma saņemšanas iesniedz projekta iesniegumu atbilstoši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noteiktajai kārtībai, pievienojot projekta iesniegumam izmaksu un ieguvumu analīzi un apliecinājumu, ka finansējuma saņēmējs neatrodas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noteiktajās izslēgšanas situācijās.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Satiksmes ministrija pēc finansējuma saņēmēja projekta iesnieguma saņemšanas organizē iesniegtā projekta pārbaudi atbilstoši šiem noteikumiem un, ja nepieciešams, lūdz finansējuma saņēmēju papildināt un precizēt iesniegto informāciju, nosakot termiņus precizējumu un papildinājumu iesniegšanai. Finansējuma saņēmējs precizējumus var veikt, līdz projekta iesniegums atbilst visām izvirzītajām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iesnieguma pārbaudes ietvaros Satiksmes ministrija lūdz aģentūrai sniegt tās rīcībā esošo informāciju,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neatrodas </w:t>
      </w:r>
      <w:r w:rsidR="00000000" w:rsidRPr="00000000" w:rsidDel="00000000">
        <w:rPr>
          <w:rtl w:val="0"/>
        </w:rPr>
        <w:t xml:space="preserve">regulas Nr. 2024/2509</w:t>
      </w:r>
      <w:r w:rsidR="00000000" w:rsidRPr="00000000" w:rsidDel="00000000">
        <w:rPr>
          <w:rtl w:val="0"/>
        </w:rPr>
        <w:t xml:space="preserve"> 138. pantā "Izslēgšanas kritēriji un lēmumi par izslēgšanu" noteiktajās izslēgšanas situācijās;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saņēmējam Latvijas Republikā nav nodokļu  un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projekta iesniegums atbilst šajos noteikumos noteiktajiem nosacījumiem un uz finansējuma saņēmēju nav attiecināms neviens no 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minētajiem izslēgšanas kritērijiem, Satiksmes ministrija informē aģentūru par atļauju uzsākt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minētā līguma slēgšanas procesu.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minētajā līgumā par investīcijas īstenošanu tiek iekļauta vismaz šāda informācija: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termiņi, sasniedzamais mērķis un uzraudzības rādītājs;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atbildības sadalījums starp aģentūru un finansējuma saņēmēju, tai skaitā pušu pienākumi un tiesības;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īstenošanai nepieciešamais finansējums un korektīvo darbību veikšanas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avansa, starpposma un noslēguma maksājumu saņemšanas nosacījumi, tai skaitā avansa un starpposma maksājumu apjoms un to izmaksāšanas kārtība un termiņi, kādā jāsasniedz projekta mērķis, izmantojot saņemto avansu;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plānoto iepirkumu plāns un tā iesniegšanas, precizēšanas un grozījumu veikšanas kārtība;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uzraudzības un pārbaužu veikšanas kārtība;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saņēmēja sagatavots un pilnībā aizpildīts projekta iesniegums;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un dokumentu kopums, kas apliecinās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investīcijas mērķa un uzraudzības rādītāja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projekta īstenošanu saistīto dokumentu glabāšanas termiņi;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finansējuma saņēmēja apliecinājums, ka projekta atbalstāmās darbības un izmaksas netiek finansētas vai līdzfinansētas, kā arī tās nav plānots finansēt vai līdzfinansēt no citiem valsts un ārvalstu finanšu atbalsta instrumentiem;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Vadības informācijas sistēmā ievadāmo datu apjoms, datu ievades regularitāte, atbildības sadalījums un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rādītāju sasniegšanu pamatojošo dokumentu augšupielādes apjoms un regularitāte.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saņēmējam ir pienākums pēc līguma noslēgšanas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noteiktajā kārtībā iesniegt: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plānoto maksājuma pieprasījumu iesniegšanas grafiku, kurā norāda maksājumu pieprasījumu veidu (avansa maksājums, starpposma maksājums un noslēguma maksājums), maksājuma apmēru un pieprasīšanas laiku;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plānu par visiem investīcijas ieviešanai plānotajiem iepirkumiem, kuru rīkošanai paredzēts piemērot Sabiedrisko pakalpojumu sniedzēju iepirkumu likumu.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Kārtību, kādā investīcijas ietvaros tiek veikti maksājumi 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noteiktajam finansējuma saņēmējam, un nosacījumus maksājuma dokumentu pārbaudēm nosaka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minētajā līgumā, tai skaitā ņemot vērā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līgumā var paredzēt avansa maksājumu, starpposma maksājumus un noslēguma maksājumu. Avansa maksājumu paredz ne vairāk kā 30 % apmērā no 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investīcijas izmaksām, pamatojoties uz investīcijas ietvaros veiktajiem izdevumiem, tai skaitā  maksājumiem saskaņā ar pakalpojumu, preču piegādes vai būvdarbu līgumiem. Finansējuma saņēmējam avanss ir jāapgūst sešu mēnešu laikā saimnieciskā gada ietvaros, iesniedzot starpposma maksājumu piešķirtās avansa summas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var saņemt vairākus avansa maksājumus, paredzot, ka nākamo avansu var saņemt pēc tam, kad iepriekšējais avanss ir pilnībā apgūts;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kopējais piešķirtā avansa un starpposma maksājumu apmērs nevar pārsniegt 90 % no 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kopējām investīcijas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noslēguma maksājumu par atlikušo finansējuma daļu var veikt tikai pēc revidenta atzinuma saņemšanas, kas tiek iesniegts kopā ar noslēguma maksājuma pieprasījumu.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Aģentūra piešķir atbalstu un veic uzraudzību atbilstoši </w:t>
      </w:r>
      <w:r w:rsidR="00000000" w:rsidRPr="00000000" w:rsidDel="00000000">
        <w:rPr>
          <w:rtl w:val="0"/>
        </w:rPr>
        <w:t xml:space="preserve">noteikumiem Nr. 621</w:t>
      </w:r>
      <w:r w:rsidR="00000000" w:rsidRPr="00000000" w:rsidDel="00000000">
        <w:rPr>
          <w:rtl w:val="0"/>
        </w:rPr>
        <w:t xml:space="preserve">,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uzrauga, kā finansējuma saņēmējs ievēro līgumā noteiktās prasības. Ja aģentūra konstatē, ka minētās prasības netiek ievērotas, tā pret finansējuma saņēmēju veic attiecīgas korektīvās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maksājumus finansējuma saņēmējam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minētajā līgumā noteiktajā kārtībā, ievērojot šādus nosacījumus: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veicot maksājumus, kontrolē investīcijai pieejamo finansējumu, nepieļaujot investīcijas īstenošanai noteiktās summas pārsniegšanu;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ietvaros sagatavo valsts budžeta pieprasījumus atbilstoši Likumam par budžetu un finanšu vadību;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pamatojošās dokumentācijas pārbaudes;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izlases veidā veic pārbaudes par interešu konfliktu, krāpšanu un korupciju, kā arī dubultā finansējuma riska novēršanas pārbaudes, pārbaudes projekta īstenošanas vietā, projekta ieviešanas progresa un sasniegto rādītāju pārbaudes un datu ticamības pārbaudes atbilstoši </w:t>
      </w:r>
      <w:r w:rsidR="00000000" w:rsidRPr="00000000" w:rsidDel="00000000">
        <w:rPr>
          <w:rtl w:val="0"/>
        </w:rPr>
        <w:t xml:space="preserve">noteikumu Nr. 621</w:t>
      </w:r>
      <w:r w:rsidR="00000000" w:rsidRPr="00000000" w:rsidDel="00000000">
        <w:rPr>
          <w:rtl w:val="0"/>
        </w:rPr>
        <w:t xml:space="preserve"> 9.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izmaksāto līdzekļu atgūšanu 100 % apmērā no 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kopējām investīcijas izmaksām, ja veiktajās pārbaudēs tiek konstatēts interešu konflikts, krāpšana un korupcija vai dubultais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Finansējuma saņēmēja pienākums ir īstenot projektu atbilstoši </w:t>
      </w:r>
      <w:r w:rsidR="00000000" w:rsidRPr="00000000" w:rsidDel="00000000">
        <w:rPr>
          <w:rtl w:val="0"/>
        </w:rPr>
        <w:t xml:space="preserve">noteikumiem Nr. 621</w:t>
      </w:r>
      <w:r w:rsidR="00000000" w:rsidRPr="00000000" w:rsidDel="00000000">
        <w:rPr>
          <w:rtl w:val="0"/>
        </w:rPr>
        <w:t xml:space="preserve"> un nodrošināt investīcijas ietvaros piešķirtā finansējuma izlietošanu atbilstoši līguma nosacījumiem,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ka projekts, tai skaitā īstenotās atbalstāmās darbības, ir sasaistē un veicina reformas sasniegšanu, ņemot vērā šo noteikumu </w:t>
      </w:r>
      <w:r w:rsidR="00000000" w:rsidRPr="00000000" w:rsidDel="00000000">
        <w:rPr>
          <w:rtl w:val="0"/>
        </w:rPr>
        <w:t xml:space="preserve">17.</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investīcijas mērķa sasniegšanu 100 % apmērā laika grafikā noteiktajā termiņā saskaņā ar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kā arī nodrošināt piekļuvi ar projekta īstenošanu saistītajai informācijai un spēt to uzrādīt Eiropas Komisijas un Latvijas Republikas Atveseļošanas un noturības mehānisma finansēšanas nolīgumā minētajām iestādēm un revīzijas iestādei;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ka projekta ietvaros darbības tiek īstenotas, ievērojot šo noteikumu </w:t>
      </w:r>
      <w:r w:rsidR="00000000" w:rsidRPr="00000000" w:rsidDel="00000000">
        <w:rPr>
          <w:rtl w:val="0"/>
        </w:rPr>
        <w:t xml:space="preserve">20.</w:t>
      </w:r>
      <w:r w:rsidR="00000000" w:rsidRPr="00000000" w:rsidDel="00000000">
        <w:rPr>
          <w:rtl w:val="0"/>
        </w:rPr>
        <w:t xml:space="preserve"> punktā</w:t>
      </w:r>
      <w:r w:rsidR="00000000" w:rsidRPr="00000000" w:rsidDel="00000000">
        <w:rPr>
          <w:rtl w:val="0"/>
        </w:rPr>
        <w:t xml:space="preserve"> minētos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informācijas un publicitātes pasākumus saskaņā ar </w:t>
      </w:r>
      <w:r w:rsidR="00000000" w:rsidRPr="00000000" w:rsidDel="00000000">
        <w:rPr>
          <w:rtl w:val="0"/>
        </w:rPr>
        <w:t xml:space="preserve">regulas Nr. 2021/241</w:t>
      </w:r>
      <w:r w:rsidR="00000000" w:rsidRPr="00000000" w:rsidDel="00000000">
        <w:rPr>
          <w:rtl w:val="0"/>
        </w:rPr>
        <w:t xml:space="preserve"> 34. pantu un </w:t>
      </w:r>
      <w:r w:rsidR="00000000" w:rsidRPr="00000000" w:rsidDel="00000000">
        <w:rPr>
          <w:rtl w:val="0"/>
        </w:rPr>
        <w:t xml:space="preserve">Eiropas Komisijas un Latvijas Republikas Atveseļošanas un noturības mehānisma finansēšanas nolīguma</w:t>
      </w:r>
      <w:r w:rsidR="00000000" w:rsidRPr="00000000" w:rsidDel="00000000">
        <w:rPr>
          <w:rtl w:val="0"/>
        </w:rPr>
        <w:t xml:space="preserve"> 10. pantu;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datu ievadi Vadības informācijas sistēmā progresa pusgada ziņojuma un maksājuma pieprasījuma informācijas sagatavošanai atbilstoši </w:t>
      </w:r>
      <w:r w:rsidR="00000000" w:rsidRPr="00000000" w:rsidDel="00000000">
        <w:rPr>
          <w:rtl w:val="0"/>
        </w:rPr>
        <w:t xml:space="preserve">regulas Nr. 2021/241</w:t>
      </w:r>
      <w:r w:rsidR="00000000" w:rsidRPr="00000000" w:rsidDel="00000000">
        <w:rPr>
          <w:rtl w:val="0"/>
        </w:rPr>
        <w:t xml:space="preserve"> 22. un 27. pantam;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līgumu noteiktā kārtībā atmaksāt investīcijas īstenošanas ietvaros piešķirto finansējumu, ja tas nav izlietots atbilstoši līgumā noteiktajiem nosacījumiem un termiņiem;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ka infrastruktūras objekts, kurā paredzēts veikt investīcijas, atrodas finansējuma saņēmēja īpašumā vai finansējuma saņēmējs ir saskaņojis būvniecības ieceri ar zemesgabala īpašnieku atbilstoši Būvniecības likumam;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projekta rezultātu ilgtspēju piecus gadus pēc projekta pabeigšanas;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korupcijas un krāpšanas novēršanas nosacījumu ievērošanu, kā arī interešu konflikta un dubultā finansējuma riska novēršanu;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sniegt Eiropas Komisijas un Latvijas Republikas Atveseļošanas un noturības mehānisma finansēšanas nolīgumā minētajām iestādēm un revīzijas iestādei visu nepieciešamo informāciju  saistībā ar projekta īstenošanu un projekta mērķu sasniegšanu, nodrošināt datu un informācijas pieejamību, kā arī nodrošināt savlaicīgu datu ievadi un uzkrāšanu Vadības informācijas sistēmā par projektu.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Investīcijas ietvaros projektu īsteno saskaņā ar līgumu, bet ne ilgāk 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2026. gada 31. martam pirmās atlases kārtas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31. augustam otrās atlases kārtas ietvaros.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Finansējuma saņēmējs pirmās atlases kārtas ietvaros līdz 2024. gada 30. janvārim iesniedz Vadības informācijas sistēmā šo noteikumu </w:t>
      </w:r>
      <w:r w:rsidR="00000000" w:rsidRPr="00000000" w:rsidDel="00000000">
        <w:rPr>
          <w:rtl w:val="0"/>
        </w:rPr>
        <w:t xml:space="preserve">4.2.</w:t>
      </w:r>
      <w:r w:rsidR="00000000" w:rsidRPr="00000000" w:rsidDel="00000000">
        <w:rPr>
          <w:rtl w:val="0"/>
        </w:rPr>
        <w:t xml:space="preserve"> apakšpunktā</w:t>
      </w:r>
      <w:r w:rsidR="00000000" w:rsidRPr="00000000" w:rsidDel="00000000">
        <w:rPr>
          <w:rtl w:val="0"/>
        </w:rPr>
        <w:t xml:space="preserve"> minētā uzraudzības rādītāja sasniegšanu pamatojošo projekta dokumentāciju.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pirmās atlases kārtas ietvaros līdz 2026. gada 30. jūnijam iesniedz Vadības informācijas sistēmā projekta mērķa sasniegšanu pamatojošo projekta noslēguma dokumentāciju, revidenta atzinumu, kas apliecina izmaksu pamatotību un mērķa sasniegšanu,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apliecinājumu par izbūvētās un pārbūvētās dzelzceļa infrastruktūras nodošanu ekspluatācijā un investīcijas projekta mērķu un rādītāju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pakalpojumu un piegādes līgumus un to izdevumus pamatojošo dokumentāciju;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rēķinus un citus veiktos maksājumus apliecinošos 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pieņemšanas un nodošanas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bankas garantijas vai apdrošināšanas polises,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citus pamatojošos dokumentus, kas apliecina projekta mērķu un rādītāju sasniegšanu.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saņēmējs otrās atlases kārtas ietvaros līdz 2026. gada 31. augustam iesniedz Vadības informācijas sistēmā projekta mērķa sasniegšanu pamatojošo projekta noslēguma dokumentāciju un Starptautiskās Inženierkonsultācijas konfederācijas (</w:t>
      </w:r>
      <w:r w:rsidR="00000000" w:rsidRPr="00000000" w:rsidDel="00000000">
        <w:rPr>
          <w:i w:val="1"/>
          <w:rtl w:val="0"/>
        </w:rPr>
        <w:t xml:space="preserve">Federation Internationale des Ingeneurs – Conseils</w:t>
      </w:r>
      <w:r w:rsidR="00000000" w:rsidRPr="00000000" w:rsidDel="00000000">
        <w:rPr>
          <w:rtl w:val="0"/>
        </w:rPr>
        <w:t xml:space="preserve"> (FIDIC) inženiera atzinumu, kas apliecina izmaksu pamatotību un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w:t>
      </w:r>
      <w:r w:rsidR="00000000" w:rsidRPr="00000000" w:rsidDel="00000000">
        <w:rPr>
          <w:rtl w:val="0"/>
        </w:rPr>
        <w:t xml:space="preserve">noteiktā atskaites punkta sasniegšanu. Noslēguma progresa pārskatā ir iekļaujami izdevumi, kas radušies līdz projekta izdevumu attiecināmības perioda beigām.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Aģentūra veic projekta noslēguma dokumentācijas pārbaudi un izmaksā noslēguma maksājumu finansējuma saņēmējam šādos termiņos: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pirmās projektu iesniegumu atlases kārtas ietvaros līdz 2026. gada 31. augustam;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otrās projektu iesniegumu atlases kārtas ietvaros līdz 2026. gada 31. decembrim.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nodrošina, ka pēc projekta īstenošanas projekta ietvaros radītā infrastruktūra ir vienlīdzīgi un bez diskriminācijas pieejama visiem potenciālajiem lietotājiem un par piekļuvi šai infrastruktūrai tiek noteikta adekvāta samaksa.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Projektu ietvaros attīstītajā ar saimniecisko darbību nesaistītajā infrastruktūrā projekta ieviešanas gaitā un uzraudzības periodā, kas atbilst pamatlīdzekļu amortizācijas periodam, ir pieļaujams sniegt parastos papildpakalpojumus. Ar parastajiem papildpakalpojumiem saprot tādus ar saimniecisko darbību nesaistītās infrastruktūras pakalpojumus, kurus galvenokārt izmanto ar saimniecisko darbību nesaistītās infrastruktūras apmeklētāji un kuriem nebūs ietekmes uz tirdzniecību un konkurenci Eiropas Savienības iekšējā tirgū.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nodrošina projektā plānoto darbu sasaisti, sinerģiju un demarkāciju ar citu atbalsta instrumentu investīcijām, dubultfinansējuma riska mazināšanai.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glabā investīcijas īstenošanas dokumentāciju vismaz piecus gadus pēc noslēguma maksājuma veikšanas dalībvalstij un nodrošina, ka dokumentācija ir pieejama Atveseļošanas fonda investīciju administrēšanā iesaistītajām institūcijām.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Aģentūrai investīcijas ietvaros ir tiesības vienpusēji atkāpties no līguma jebkurā no šādiem gadījumiem: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līgumu, tai skaitā netiek ievēroti projektā noteiktie termiņi vai ir iestājušies citi apstākļi, kas negatīvi ietekmē vai var ietekmēt investīcijas  mērķa vai noteikto rādītāju sasniegšanu;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projekta īstenošanas laikā apzināti ir sniedzis nepatiesu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citos gadījumos, ko paredz līgums.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Satiksmes ministrija 10 darbdienu laikā pēc šo noteikumu grozījumu par otrās projektu iesniegumu atlases kārtas īstenošanu stāšanās spēkā nosūta 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minētajam finansējuma saņēmējam uzaicinājumu iesniegt projekta iesniegumu Satiksmes ministrijas noteiktajā termiņā un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Kārtību, kādā investīcijas ietvaros tiek veikti maksājumi šo noteikumu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 </w:t>
      </w:r>
      <w:r w:rsidR="00000000" w:rsidRPr="00000000" w:rsidDel="00000000">
        <w:rPr>
          <w:rtl w:val="0"/>
        </w:rPr>
        <w:t xml:space="preserve">apakšpunktā</w:t>
      </w:r>
      <w:r w:rsidR="00000000" w:rsidRPr="00000000" w:rsidDel="00000000">
        <w:rPr>
          <w:rtl w:val="0"/>
        </w:rPr>
        <w:t xml:space="preserve"> minētajam finansējuma saņēmējam, un nosacījumus maksājuma dokumentu pārbaudēm nosaka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 līgumā, tai skaitā ņemot vērā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saņēmējam ir pieejami vairāki avansa maksājumi, kas kopsummā veido 100 % no šo noteikumu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investīcijas izmaksām, pamatojoties uz investīcijas ietvaros veiktajiem izdevumiem, tai skaitā maksājumiem saskaņā ar pakalpojumu, preču piegādes vai būvdarbu līgumiem. Viena avansa maksājuma apmērs nepārsniedz 30 % no šo noteikumu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investīcijas izmaksām. Finansējuma saņēmējam avanss ir jāapgūst sešu mēnešu laikā saimnieciskā gada ietvaros, iesniedzot starpposma maksājumus piešķirtās avansa summas apmērā;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noslēguma maksājums projektā nav mazāks par 10 % no šo noteikumu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minētajām investīcijas izmaksām un var tikt veikts avansa maksājuma veidā līdz 2026. gada 31. augustam;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finansējuma saņēmējs par darbiem, kas veikti līdz 2026. gada 31. augustam un apliecina projekta ietvaros noteikto investīciju rādītāju sasniegšanu, līdz 2026. gada 15. septembrim iesniedz aģentūrā FIDIC</w:t>
      </w:r>
      <w:r w:rsidR="00000000" w:rsidRPr="00000000" w:rsidDel="00000000">
        <w:rPr>
          <w:i w:val="1"/>
          <w:rtl w:val="0"/>
        </w:rPr>
        <w:t xml:space="preserve"> </w:t>
      </w:r>
      <w:r w:rsidR="00000000" w:rsidRPr="00000000" w:rsidDel="00000000">
        <w:rPr>
          <w:rtl w:val="0"/>
        </w:rPr>
        <w:t xml:space="preserve">inženiera apliecinājumu par darbu pabeigšanu.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24-TA-2705</w:t>
    </w:r>
    <w:r>
      <w:br/>
    </w:r>
    <w:r w:rsidR="00000000" w:rsidRPr="00000000" w:rsidDel="00000000">
      <w:rPr>
        <w:rtl w:val="0"/>
      </w:rPr>
      <w:t xml:space="preserve">Izdrukāts 29.07.2026. 22.30 - 1.0.VK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24-TA-2705</w:t>
    </w:r>
    <w:r>
      <w:br/>
    </w:r>
    <w:r w:rsidR="00000000" w:rsidRPr="00000000" w:rsidDel="00000000">
      <w:rPr>
        <w:rtl w:val="0"/>
      </w:rPr>
      <w:t xml:space="preserve">Izdrukāts 29.07.2026. 22.30 - 1.0.VK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noteikumu_konsolidētā_versija_24-TA-2705.docx</dc:title>
</cp:coreProperties>
</file>

<file path=docProps/custom.xml><?xml version="1.0" encoding="utf-8"?>
<Properties xmlns="http://schemas.openxmlformats.org/officeDocument/2006/custom-properties" xmlns:vt="http://schemas.openxmlformats.org/officeDocument/2006/docPropsVTypes"/>
</file>