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162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7. martā (prot. Nr. 10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10.00.00 "Noziedzīgi iegūtu līdzekļu legalizācijas un terorisma finansēšanas novēršana"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64. pantu, atbalstīt apropriācijas pārdali 2024. gadā 102 995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10.00.00 "Noziedzīgi iegūtu līdzekļu legalizācijas un terorisma finansēšanas novēršana" uz Tieslietu ministrijas budžeta apakšprogrammu 06.01.00 "Juridisko personu reģistrācija", lai nodrošinātu finansējumu juridisko veidojumu patieso labuma guvēju reģistra izveidei.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ministrijai normatīvajos aktos noteiktajā kārtībā sagatavot un iesniegt Finanšu ministrijā pieprasījumu valsts budžeta apropriācijas pārdalei atbilstoši šā rīkojuma 1. punktam.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ministra vietā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24-TA-156</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24-TA-156</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rīkojuma_projekts_24-TA-156.docx</dc:title>
</cp:coreProperties>
</file>

<file path=docProps/custom.xml><?xml version="1.0" encoding="utf-8"?>
<Properties xmlns="http://schemas.openxmlformats.org/officeDocument/2006/custom-properties" xmlns:vt="http://schemas.openxmlformats.org/officeDocument/2006/docPropsVTypes"/>
</file>