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oktobrī (prot. Nr. 41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3.1. prioritātes "Ilgtspējīga TEN-T infrastruktūra" 3.3.1. 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3.1. prioritātes "Ilgtspējīga TEN-T infrastruktūra" 3.3.1. specifiskā atbalsta mērķa "Attīstīt noturīgu aizsardzības infrastruktūru, veicinot militāro mobilitāti Eiropas Savienībā" 3.3.1.1. pasākumu "Dzelzceļa infrastruktūras attīstība un energoefektivitātes uzlabošana sabiedriskajos pasažieru pārvadājumos"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modernizēt esošo elektrificēto dzelzceļa tīklu, paplašināt elektrificēto zonu un paaugstināt pasažieru un vilcienu kustības drošību, pasažieru apkalpošanas kvalitāti un komfortu, kā arī attīstīt noturīgu aizsardzības infrastruktūru un veicināt  militāro mobilitāti.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"Dzelzceļa stacijas izveide starptautiskajā lidostā "Rīga"" – viena stacija;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"Jaunas vai modernizētas dzelzceļa stacijas un pieturas, kurās izbūvēti paaugstinātie peroni" – trīs stacijas un pieturas;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iznākuma rādītājs "Jaunu vai modernizētu dzelzceļa sliežu garums – TEN-T" – 90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rezultāta rādītājs "Jaunuzbūvēto, jaunināto, rekonstruēto vai modernizēto sliežu ceļu lietotāju skaits gadā" –  3 534 660 pasažieri.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dzelzceļa infrastruktūras lietotāji un ar tiem saistītie citu transporta veidu satiksmes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Kohēzijas fonda finansējumu pasākuma ietvaros piešķir granta veidā. Maksimālais attiecināmais Kohēzijas fonda finansējuma apmērs ir ne lielāks par 85 %, un valsts budžeta līdzfinansējuma apmērs ir 15 %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Satiksmes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ir valsts akciju sabiedrība "Latvijas dzelzceļš". Projekta iesniedzējs pēc projekta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akciju sabiedrība "Latvijas dzelzceļš" kā finansējuma saņēmējs piesaista sabiedrību ar ierobežotu atbildību "Eiropas dzelzceļa līnijas" kā sadarbības partneri, lai īstenotu projektu "Rīgas dzelzceļa mezgla savienojošās infrastruktūras izveide starptautiskā lidosta "Rīga"–"Rīgas Centrālā dzelzceļa stacija"–Aizkraukles virziens", noslēdzot sadarbības līgumu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ar ierobežotu atbildību "Eiropas dzelzceļa līnijas" kā sadarbības partneris veic dzelzceļa trases uzbēruma no Mazās Gramzdas ielas zonas līdz K. Ulmaņa gatves pārvadam, no K. Ulmaņa gatves pārvada līdz Zolitūdes ielai un saistīto risinājumu pārprojektēšanu un būvdarbus, kā arī starptautiskās lidostas "Rīga" dzelzceļa stacijas ēkas un saistītās infrastruktūras pārprojektēšanu un būvdarbus.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pirms līguma noslēgšanas par projekta īstenošanu iesniedz sadarbības iestādē ar sadarbības partneri noslēgtu sadarbības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ir atbildīgs par projekta īstenošanu, mērķu sasniegšanu, izdevumu attiecināmību, kā arī maksājumu un iepirkuma procedūras veikšanu, tai skaitā novērš dubultā finansējuma risku un nodrošina demarkāciju ar citiem līdzīgiem vai saistītiem pasākumiem.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 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plānotais un pieejamais kopējais finansējums ir 264 176 808 </w:t>
      </w:r>
      <w:r w:rsidR="00000000" w:rsidRPr="00000000" w:rsidDel="00000000">
        <w:rPr>
          <w:i w:val="1"/>
          <w:rtl w:val="0"/>
        </w:rPr>
        <w:t xml:space="preserve">euro</w:t>
      </w:r>
      <w:r w:rsidR="00000000" w:rsidRPr="00000000" w:rsidDel="00000000">
        <w:rPr>
          <w:rtl w:val="0"/>
        </w:rPr>
        <w:t xml:space="preserve">, tai skaitā Kohēzijas fonda finansējums – 224 550 286 </w:t>
      </w:r>
      <w:r w:rsidR="00000000" w:rsidRPr="00000000" w:rsidDel="00000000">
        <w:rPr>
          <w:i w:val="1"/>
          <w:rtl w:val="0"/>
        </w:rPr>
        <w:t xml:space="preserve">euro</w:t>
      </w:r>
      <w:r w:rsidR="00000000" w:rsidRPr="00000000" w:rsidDel="00000000">
        <w:rPr>
          <w:rtl w:val="0"/>
        </w:rPr>
        <w:t xml:space="preserve"> un valsts budžeta līdzfinansējums – 39 626 522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atbalstāmās darbības ir dzelzceļa infrastruktūras būvniecība, pārbūve un atjaunošana, lai nodrošinātu pilnvērtīgu integrēšanos TEN-T tīklā un energoefektivitātes uzlabošanu sabiedriskajos pasažieru pārvadājumos, tai skaitā Eiropas transporta tīklā esošās dzelzceļa infrastruktūras modernizācija un jaunas dzelzceļa infrastruktūras izveide, dzelzceļa pasažieru infrastruktūras modernizācija, kā arī  drošības, dzelzceļa sakaru un informācijas sistēmu nodrošināšanas, tai skaitā divējāda lietojuma pasākumu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Projektos neiekļauj darbības, kas nav vērstas uz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tai skaitā izmaksu un ieguvumu analīzes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un projekta īstenošanas personāla izmaksas, kas radušās uz darba līguma vai uzņēmuma līguma pamata, tai skaitā  normatīvajos aktos noteiktās piemaksas un nodokļi, proporcionāli darbinieka noslodzei projektā, ja tās ir pamatotas ar atbilstošiem izmaksas pamatojošiem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izmaksas, kas ietver projektēšanas un būvdarbu izmaksas, pakalpojumu, projektēšanas vai būvdarbu, vai apvienoto projektēšanas un būvdarbu līgumu ietvaros, tai skaitā saistītos darbus, saskaņošanas procesu, kā arī izmaksas, kas saistītas ar izmaiņu veikšanu, atkāpju saskaņošanu un darbu izpildes laika pagarināšanu;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autoruzraudzības, būvuzraudzības, būvekspertīzes, kā arī inženierkonsultanta un būvniecības procesa dalībnieku izmaksas, būvspeciālistu profesionālās civiltiesiskās atbildības apdrošināšanas un būvuzņēmēju civiltiesiskās atbildības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dzelzceļa infrastruktūras izbūves un pārbūves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staciju ēku būvniecības izmaksas, tai skaitā izmaksas, kas saistītas ar sliežu ceļu plāna uzlabojumu, pasažieru platformu pārbūvi, pasažieru apkalpošanas infrastruktūru, drošu divlīmeņu šķērsojumu izbūvi, piekļuves izbūvi platformām un piegulošās teritorijas labiekārtošanu;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inženiertīklu, infrastruktūras pārbūves izmaksas, ja ir sertificēta būvinženiera ekspertīzes atzinums, kurā norādīts, ka, projekta ietvaros veicot ieguldījumus noteiktās teritorijās, nav iespējams izvairīties no minētās infrastruktūras bojāšanas vai pārbūves, vai ja pārbūve ir paredzēta jau apstiprinātā būvprojekta būvniecības dokumentācijā. Izmaksas ir attiecināmas, ja netiek palielināta infrastruktūras jauda, tādējādi investīcijas nerada priekšrocības inženiertīklu un infrastruktūras īpašniekam, netiek konstatēta ekonomiskās priekšrocības piešķiršana un nav jāpiemēro komercdarbības atbalsta regulējums;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telekomunikāciju līniju un sistēmu būvniecības, vidēja sprieguma un augstsprieguma līniju kabeļu un krustojumu pārbūves un nomaiņas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dzelzceļa infrastruktūras modernizācijas, pārbūves un izbūves izmaksas, kas rodas  būvprojekta verificēšanas procesā atbilstoši normatīvajiem aktiem par Eiropas dzelzceļa sistēmu savstarpēju izmantojamību;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tehniskās kontroles pakalpojumu izmaksas (piemēram, satiksmes drošības kontrole, infrastruktūras diagnostika, kontakttīkla pieslēgšana vai  atslēgšana);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telekomunikāciju līniju un sistēmu būvniecība, vidēja sprieguma un augstsprieguma līniju kabeļu un krustojumu izbūves, pārbūves un nomaiņas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divējāda lietojuma infrastruktūras izveides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saistībā ar videonovērošanas un apziņošanas sistēmas ierīkošanu un integrāciju esošajā sistēmā;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jaunas vilces jaudas apakšstaciju, kontakttīkla un to infrastruktūras izbūves un ierīkošanas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sistēmu izstrādes vai iegādes izmaksas, informācijas sistēmas ieviešanas izmaksas līdz tās darbības uzsākšanai, infrastruktūras iegādes un uzstādīšanas izmaksas, informācijas sistēmas programmatūras izstrādes vai iegādes un ieviešanas kvalitātes kontroles (tai skaitā vispusīgās testēšanas, audita) izmaksas, lietotāju vajadzību analīzes izmaksas, projektu īstenošanai nepieciešamo autortiesību maksājumu izmaksas projekta īstenošanas un uzraudzības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būvlaukuma ierīkošanas, uzturēšanas un demontāžas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īstenošanai nepieciešamās zemes un cita nekustamā īpašuma iegādes  izmaksas, nepārsniedzot 10 % no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obligāto ugunsdrošības un citu drošības prasību ievērošanu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obligāto vides aizsardzības prasību nodrošināšanai paredzēto pasākumu izmaksas, ciktāl to paredz normatīvie akti vides aizsardzības prasību jomā, tai skaitā ietekmes uz vidi novērtējuma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nodevas, nodokļi un citi maksājumi, kas saistīti ar izbūvētas vai būvniecības procesā esošās infrastruktūras reģistrāciju Valsts zemes dienesta sistēmā, Zemesgrāmatā un citos reģistros, kā arī izmaksas iesniegumu sagatavošanai, tai skaitā izmaksas, kas saistītas ar atļaujas saņemšanu dzelzceļa apakšsistēmu vai tā daļas nodošanai ekspluatācijā un izbūvētās infrastruktūras reģistrāciju valsts reģistros un sistēmās;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labiekārtošanas izmaksas atbilstoši būvprojekta risinājumam (tai skaitā ēku un būvju demontāža);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pārvadātāja, kurš sniedz sabiedriskā transporta pakalpojumus reģionālās nozīmes dzelzceļa maršrutos, izdevumi, kas saistīti ar ierobežojumiem dzelzceļa infrastruktūras izmantošanā, kuru dēļ pārvadājumi ar vilcienu tiek pilnībā vai daļēji aizstāti ar autobusu pārvadājumiem;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tehnikas izmantošanas un būvmateriālu iegādes izmaksas šo noteikumu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minēto izmaksu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indeksācijas izmaksas, nepārsniedzot 55 % no būvdarbu līguma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attiecināmas projekta īstenošanas personāla izmaksas un projekta vadības personāla izmaksas, kuras plāno 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atlīdzības izmaksas, kas radušās uz darba līguma vai uzņēmuma līguma pamata šo noteikumu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minēto darbu veikšanai, proporcionāli darbinieka noslodzei projektā, ja tās ir pamatotas ar atbilstošiem izmaksas pamatojošiem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līguma pamata, proporcionāli darbinieka noslodzei projektā, ja tās ir pamatotas ar atbilstošiem izmaksas pamatojošiem dokumentiem.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minētās attiecināmās izmaksas par finansējuma saņēmēja paša  veiktajiem darbiem  ir iespējams attiecināt, ja ir izpildīti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atbilstoši normatīvajiem aktiem būvniecības jomā ir reģistrēts Būvniecības informācijas sistēmā kā būvkomersants attiecīgajā specialitātē un darbības sfērā, kurā veikti attiecīgie darbi, un darbu veicēji ir sertificēti atbilstoši normatīvajiem aktiem būvniecības jomā attiecīgajā darbības sfērā, ja to nosaka normatīvie akti būvniecības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darbu veicēji ir finansējuma saņēmēja speciālisti, tai skaitā tādi, kuri ir sertificēti attiecīgajā darbības sfērā,  ja to paredz normatīvie akti;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veikšanai netiek piesaistīti apakšuzņēmēji, papildus neizslēdzot iepirkumu veikšanu visu pārējo darbu izpildei.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ievērojot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minētos nosacījumus, novērš dubultfinansējuma riskus, tai skaitā vienus un tos pašus darbus neparedz finansēt gan iepirkuma, gan projekta īstenošanas personāla izmaksu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 apmērā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Neparedzētie izdevumi nepārsniedz 5 % no projekta kopējām tiešajām attiecināmajām izmaksām. Finansējuma saņēmējs saskaņo neparedzēto izdevumu izlietošanu ar sadarbības iestādi pirms izdevumu veikšanas.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Pasākumu atbalstāmo darbību ietvaros ir attiecināms pievienotās vērtības nodoklis tiešajām attiecināmajām izmaksām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finansējuma saņēmēja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ir atbalstāma vides prasību integrācija būvdarbu iepirkumos (zaļais publiskais iepirkums), vides un informācijas  piekļūstamības nodrošināšanas izmaksas atbilstoši būvprojekta risinājumam un personu ar invaliditāti intereses pārstāvošo nevalstisko organizāciju ekspertu konsultācijas, tās paredzot projektēšanas vai būvdarbu līguma izmaksu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atbalstāmo darbību ietvaros radušās izmaksas var uzskatīt par attiecināmām finansēšanai no Kohēzijas fonda, ja tās atbilst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minētajām atbalstāmajām darbībām,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attiecināmajām izmaksām un šo noteikumu </w:t>
      </w:r>
      <w:r w:rsidR="00000000" w:rsidRPr="00000000" w:rsidDel="00000000">
        <w:rPr>
          <w:rtl w:val="0"/>
        </w:rPr>
        <w:t xml:space="preserve">17.8.</w:t>
      </w:r>
      <w:r w:rsidR="00000000" w:rsidRPr="00000000" w:rsidDel="00000000">
        <w:rPr>
          <w:rtl w:val="0"/>
        </w:rPr>
        <w:t xml:space="preserve"> un </w:t>
      </w:r>
      <w:r w:rsidR="00000000" w:rsidRPr="00000000" w:rsidDel="00000000">
        <w:rPr>
          <w:rtl w:val="0"/>
        </w:rPr>
        <w:t xml:space="preserve">17.15.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minētajiem izmaksu apjoma ierobežojumiem un ir radušās ne agrāk kā 2021. gada 1. janvārī. Pasākuma ietvaros nevar tikt attiecinātas jau pabeigtas darbības, proti, darbības, kas jau pabeigtas pirms projektu iesniegumu iesniegšanas sadarbības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ne vēlāk kā viena mēneša laikā pēc šo noteikumu stāšanās spēkā izsludina projektu iesniegumu atlasi.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ne vēlāk kā divu mēnešu laikā pēc projektu iesniegumu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projektu īsteno saskaņā ar noslēgto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nodrošina, ka pēc projekta īstenošanas projekta ietvaros radītā infrastruktūra būs vienlīdzīgi un bez diskriminācijas pieejama visiem potenciālajiem lietotājiem un par piekļuvi šai infrastruktūrai tiks noteikta adekvāta samaksa.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horizontālā principa rādītāju – objektu skaits, kuros Kohēzijas fonda ieguldījumu rezultātā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horizontālo principu rādītājiem (ja attiecināms) un ievēro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sasniegto rezultātu ilgtspēju piecus gadus pēc projekta pabeigšanas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kārtību, kādā Eiropas Savienības fondu vadībā iesaistītās institūcijas nodrošina šo fondu ieviešanu 2021.–2027. gada plānošanas periodā un saskaņā ar Eiropas Savienības kohēzijas politikas programmā 2021.–2027. gadam stratēģiski svarīgam projektam noteiktajiem pienākumiem;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infrastruktūras objekts, kurā plānots veikt ieguldījumus, ir īpašumā un finansējuma saņēmēja tiesības uz konkrēto objektu vai īpašumu ir nostiprinātas valsts vienotajā datorizētajā Zemesgrāmatā vai infrastruktūras objekts tiesību aktos noteiktajā kārtībā nodots finansējuma saņēmēja valdījumā vai lietošanā;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īstenojot šo noteikumu </w:t>
      </w:r>
      <w:r w:rsidR="00000000" w:rsidRPr="00000000" w:rsidDel="00000000">
        <w:rPr>
          <w:rtl w:val="0"/>
        </w:rPr>
        <w:t xml:space="preserve">31.5. </w:t>
      </w:r>
      <w:r w:rsidR="00000000" w:rsidRPr="00000000" w:rsidDel="00000000">
        <w:rPr>
          <w:rtl w:val="0"/>
        </w:rPr>
        <w:t xml:space="preserve">apakšpunktā</w:t>
      </w:r>
      <w:r w:rsidR="00000000" w:rsidRPr="00000000" w:rsidDel="00000000">
        <w:rPr>
          <w:rtl w:val="0"/>
        </w:rPr>
        <w:t xml:space="preserve"> minēto stratēģiski svarīgo projektu, ievēro šādas komunikācijas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stratēģiski svarīgā projekta komunikācijas plānu, kas paredz nodrošināt vismaz viena plašāka mēroga publicitātes pasākumu mediju intereses un sabiedrības uzmanības piesaistīšanai projekta atklāšanas, vidusposma vai noslēguma fāzē. Stratēģiski svarīgā projekta komunikācijas plānu iesniedz informācijai arī atbildīgajā 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plānā minēto pasākumu īstenošanu ciešā sadarbībā ar atbildīgo iestādi un Eiropas Komisijas pārstāvniecību Latvijā.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projektu īstenošanai nepieciešamo preču un pakalpojumu iegādi veic saskaņā ar normatīvajiem aktiem publisko iepirkumu jomā, īstenojot atklātu, pārredzamu, nediskriminējošu un konkurenci nodrošinošu konkursa procedūru, ja šāda iepirkuma procedūra nav veikta un līgums nav noslēgts. Atbalstāma ir vides prasību integrācija preču un pakalpojumu iepirkumos, kā arī vides piekļūstamības un izmantojamības nodrošināšana (zaļais publiskais iepirkums), kur tā ir attiecināma un atbilstoša ieguldījumu specifikai, lai īstenotu sociāli atbildīgu iepirkumu un/vai inovatīvu publisko iepirkumu.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nodrošina, ka projekts un atbalstāmās darbības tiek īstenotas, ievērojot principa "Nenodarīt būtisku kaitējumu"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dzelzceļa infrastruktūras un dzelzceļa infrastruktūras attīstība neizraisa tūlītēju vai nākotnē iespējamu negatīvu klimata ietekmi uz projektu, cilvēkiem, dabu vai aktīviem, tai skaitā infrastruktūru, kā arī nerada negatīvu ietekmi uz pielāgošanos klimata pārmaiņu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tiek noteikti arī ar būvniecību, uzturēšanu un ekspluatāciju saistītie riski;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laikā tiek nodrošināts, ka netiek radīta būtiska negatīva ietekme uz ūdens resursiem, aprites ekonomikas principu ievērošanu, vides piesārņojuma novēršanu, kā arī bioloģiskās daudzveidības un ekosistēmu saglabāšanu un atjaunošanu.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un tā pamatojumu, var piešķirt finansējuma saņēmējam avansu pēc līguma noslēgšanas par projekta īstenošanu. Finansējuma saņēmējs avansa pieprasījumu sagatavo un sadarbības iestāde to apstiprina, ievērojot nosacījumu, ka plānotā avansa apmērs un tā pamatojums atbilst spējai to  izlietot sešu mēnešu laikā saimnieciskā gada ietvaros. Finansējuma saņēmējam avansu var piešķirt līdz 100 % no projektam piešķirtā Kohēzijas fonda finansējuma un, ja tas ir paredzēts projektā, valsts budžeta līdzfinansējuma kopsummas, ievērojot, ka avansu var izmaksāt vairākos maksājumos un avansa un starpposma maksājumu kopsumma nepārsniedz 100 % no projektam piešķirtā Kohēzijas fonda finansējuma un valsts budžeta līdzfinansējuma kopsummas.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25-TA-2047</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25-TA-2047</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noteikumu_projekts_25-TA-2047.docx</dc:title>
</cp:coreProperties>
</file>

<file path=docProps/custom.xml><?xml version="1.0" encoding="utf-8"?>
<Properties xmlns="http://schemas.openxmlformats.org/officeDocument/2006/custom-properties" xmlns:vt="http://schemas.openxmlformats.org/officeDocument/2006/docPropsVTypes"/>
</file>