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5.4.2. specifiskā atbalsta mērķa "Nodrošināt vides monitoringa un kontroles sistēmas attīstību un savlaicīgu vides risku novēršanu, kā arī sabiedrības līdzdalību vides pārvaldībā" 5.4.2.2. pasākuma "Vides monitoringa un kontroles sistēmas attīstība un sabiedrības līdzdalības vides pārvaldībā veicināšana"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w:t>
      </w:r>
      <w:r>
        <w:br/>
      </w:r>
      <w:r w:rsidR="00000000" w:rsidRPr="00000000" w:rsidDel="00000000">
        <w:rPr>
          <w:rStyle w:val="paragraph"/>
          <w:i w:val="1"/>
          <w:rtl w:val="0"/>
        </w:rPr>
        <w:t xml:space="preserve">struktūrfondu un Kohēzijas fonda</w:t>
      </w:r>
      <w:r>
        <w:br/>
      </w:r>
      <w:r w:rsidR="00000000" w:rsidRPr="00000000" w:rsidDel="00000000">
        <w:rPr>
          <w:rStyle w:val="paragraph"/>
          <w:i w:val="1"/>
          <w:rtl w:val="0"/>
        </w:rPr>
        <w:t xml:space="preserve">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5.4.2. specifiskā atbalsta mērķa "Nodrošināt vides monitoringa un kontroles sistēmas attīstību un savlaicīgu vides risku novēršanu, kā arī sabiedrības līdzdalību vides pārvaldībā" 5.4.2.2. pasākumu "Vides monitoringa un kontroles sistēmas attīstība un sabiedrības līdzdalības vides pārvaldībā veicināšana"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Savienības Kohēzijas fonda projekta (turpmāk – projekts) iesniedzējam (turpmāk – projekta iesniedzējs) un projekta sadarbības partnerim (turpmāk – sadarbības partneris);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(turpmāk – līgums) vai vienošanās par projekta īstenošanu (turpmāk – vienošanās)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nodrošināt sabiedrību un iestādes ar savlaicīgu, kvalitatīvu un vispusīgu informāciju par vides stāvokļa izmaiņām, attīstot valsts vides monitoringa un kontroles sistēmas darbību un īstenojot sistemātiskus, regulārus un mērķtiecīgus vides stāvokļa novērojumus un mērījumus, kā arī veicināt sabiedrības līdzdalību vides pārvaldībā.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mērķa grupa ir tiešās pārvaldes iestādes, zinātniskās institūcijas, valsts augstskolas un valsts kapitālsabiedrības, kurām deleģēta valsts vides monitoringa un kontroles uzdevumu veikšana, kā arī vides informācijas apkopošana, apstrāde un uzkrāšana, nacionālas nozīmes vides izglītības un informācijas centri, pašvaldības un to iestādes, biedrības un nodibinājumi, plānošanas reģioni, fiziskās personas.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Uzraudzības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rādītājs – līdz 2023. gada 31. decembrim vides monitoringa vietu skaits, kurās tiek veikts vides monitorings atbilstoši normatīvajiem aktiem, kas attiecas uz vides monitoringu, ir robežās no 1100 līdz 1120;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līdz 2023. gada 31. decembrim atbilstoši normatīvajiem aktiem, kas attiecas uz vides monitoringu, īstenotas četras monitoringa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izveidota un attīstīta sabiedrības vides apziņas veicināšanas infrastruktūra trijos nacionālas nozīmes vides izglītības un informācijas centros (ja attiecināms), izņemot gadījumus, kas minēti šo noteikumu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189 vides monitoringa vietas projektos, kurās tiek veikts vides monitorings atbilstoši normatīvajiem aktiem, kas attiecas uz vides monitoringu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rādītājs – līdz 2018. gada 31. decembrim pasākuma ietvaros sertificēti izdevumi vismaz 1 499 033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horizontālā principa "Ilgtspējīga attīstība" uzraudzības rādītāji un to sasniedzamā vērtība atbilst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īsteno ierobežotas projektu iesniegumu atlases veidā trijās projektu iesniegumu atlases 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atbildīgās iestādes funkcijas pilda Vides aizsardzības un reģionālās attīstības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īstenošanai pieejamais kopējais attiecināmais finansējums ir vismaz 20 589 655 </w:t>
      </w:r>
      <w:r w:rsidR="00000000" w:rsidRPr="00000000" w:rsidDel="00000000">
        <w:rPr>
          <w:i w:val="1"/>
          <w:rtl w:val="0"/>
        </w:rPr>
        <w:t xml:space="preserve">euro</w:t>
      </w:r>
      <w:r w:rsidR="00000000" w:rsidRPr="00000000" w:rsidDel="00000000">
        <w:rPr>
          <w:rtl w:val="0"/>
        </w:rPr>
        <w:t xml:space="preserve">, tai skaitā Eiropas Savienības Kohēzijas fonda finansējums – 17 501 206 </w:t>
      </w:r>
      <w:r w:rsidR="00000000" w:rsidRPr="00000000" w:rsidDel="00000000">
        <w:rPr>
          <w:i w:val="1"/>
          <w:rtl w:val="0"/>
        </w:rPr>
        <w:t xml:space="preserve">euro</w:t>
      </w:r>
      <w:r w:rsidR="00000000" w:rsidRPr="00000000" w:rsidDel="00000000">
        <w:rPr>
          <w:rtl w:val="0"/>
        </w:rPr>
        <w:t xml:space="preserve"> un nacionālais finansējums, ko veido privātais un valsts budžeta finansējums, – vismaz 3 088 449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Pasākuma īstenošanai plānotais finansējuma sadalījums pa atlases kārtām ir šāds: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atlases kārtas ietvaros pieejamais finansējums ir vismaz 15 670 366 </w:t>
      </w:r>
      <w:r w:rsidR="00000000" w:rsidRPr="00000000" w:rsidDel="00000000">
        <w:rPr>
          <w:i w:val="1"/>
          <w:rtl w:val="0"/>
        </w:rPr>
        <w:t xml:space="preserve">euro</w:t>
      </w:r>
      <w:r w:rsidR="00000000" w:rsidRPr="00000000" w:rsidDel="00000000">
        <w:rPr>
          <w:rtl w:val="0"/>
        </w:rPr>
        <w:t xml:space="preserve">, tai skaitā Kohēzijas fonda finansējums – 13 319 811 </w:t>
      </w:r>
      <w:r w:rsidR="00000000" w:rsidRPr="00000000" w:rsidDel="00000000">
        <w:rPr>
          <w:i w:val="1"/>
          <w:rtl w:val="0"/>
        </w:rPr>
        <w:t xml:space="preserve">euro </w:t>
      </w:r>
      <w:r w:rsidR="00000000" w:rsidRPr="00000000" w:rsidDel="00000000">
        <w:rPr>
          <w:rtl w:val="0"/>
        </w:rPr>
        <w:t xml:space="preserve">un nacionālais finansējums, ko veido privātais un valsts budžeta finansējums, – vismaz 2 350 555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atlases kārtas ietvaros pieejamais finansējums ir ne mazāks kā 3 350 000 </w:t>
      </w:r>
      <w:r w:rsidR="00000000" w:rsidRPr="00000000" w:rsidDel="00000000">
        <w:rPr>
          <w:i w:val="1"/>
          <w:rtl w:val="0"/>
        </w:rPr>
        <w:t xml:space="preserve">euro</w:t>
      </w:r>
      <w:r w:rsidR="00000000" w:rsidRPr="00000000" w:rsidDel="00000000">
        <w:rPr>
          <w:rtl w:val="0"/>
        </w:rPr>
        <w:t xml:space="preserve">, tai skaitā Kohēzijas fonda finansējums – 2 847 500 </w:t>
      </w:r>
      <w:r w:rsidR="00000000" w:rsidRPr="00000000" w:rsidDel="00000000">
        <w:rPr>
          <w:i w:val="1"/>
          <w:rtl w:val="0"/>
        </w:rPr>
        <w:t xml:space="preserve">euro</w:t>
      </w:r>
      <w:r w:rsidR="00000000" w:rsidRPr="00000000" w:rsidDel="00000000">
        <w:rPr>
          <w:rtl w:val="0"/>
        </w:rPr>
        <w:t xml:space="preserve"> un valsts budžeta finansējums – vismaz 502 500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atlases kārtas ietvaros plānotais finansējums ir vismaz 1 569 289 </w:t>
      </w:r>
      <w:r w:rsidR="00000000" w:rsidRPr="00000000" w:rsidDel="00000000">
        <w:rPr>
          <w:i w:val="1"/>
          <w:rtl w:val="0"/>
        </w:rPr>
        <w:t xml:space="preserve">euro</w:t>
      </w:r>
      <w:r w:rsidR="00000000" w:rsidRPr="00000000" w:rsidDel="00000000">
        <w:rPr>
          <w:rtl w:val="0"/>
        </w:rPr>
        <w:t xml:space="preserve">, tai skaitā Kohēzijas fonda finansējums – 1 333 895 </w:t>
      </w:r>
      <w:r w:rsidR="00000000" w:rsidRPr="00000000" w:rsidDel="00000000">
        <w:rPr>
          <w:i w:val="1"/>
          <w:rtl w:val="0"/>
        </w:rPr>
        <w:t xml:space="preserve">euro</w:t>
      </w:r>
      <w:r w:rsidR="00000000" w:rsidRPr="00000000" w:rsidDel="00000000">
        <w:rPr>
          <w:rtl w:val="0"/>
        </w:rPr>
        <w:t xml:space="preserve"> un valsts budžeta finansējums – vismaz 235 394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 kas grozīta ar MK 26.05.2020. noteikumiem Nr. 317; MK 27.09.2022. noteikumiem Nr. 602)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26.05.2020.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26.05.2020.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2019. gada 1. janvāra atbildīgā iestāde pēc Eiropas Komisijas lēmuma par snieguma ietvara izpildi var ierosināt palielināt pieejamā Eiropas Savienības Kohēzijas fonda attiecināmā finansējuma apjomu līdz šo noteikumu </w:t>
      </w:r>
      <w:r w:rsidR="00000000" w:rsidRPr="00000000" w:rsidDel="00000000">
        <w:rPr>
          <w:rtl w:val="0"/>
        </w:rPr>
        <w:t xml:space="preserve">7.</w:t>
      </w:r>
      <w:r w:rsidR="00000000" w:rsidRPr="00000000" w:rsidDel="00000000">
        <w:rPr>
          <w:rtl w:val="0"/>
        </w:rPr>
        <w:t xml:space="preserve"> punktā minētajam finansējuma apmēram un slēgt līgumu ar šo noteikumu </w:t>
      </w:r>
      <w:r w:rsidR="00000000" w:rsidRPr="00000000" w:rsidDel="00000000">
        <w:rPr>
          <w:rtl w:val="0"/>
        </w:rPr>
        <w:t xml:space="preserve">12.2.</w:t>
      </w:r>
      <w:r w:rsidR="00000000" w:rsidRPr="00000000" w:rsidDel="00000000">
        <w:rPr>
          <w:rtl w:val="0"/>
        </w:rPr>
        <w:t xml:space="preserve"> apakšpunktā minēto projekta iesniedzēju šo noteikumu pielikuma </w:t>
      </w:r>
      <w:r w:rsidR="00000000" w:rsidRPr="00000000" w:rsidDel="00000000">
        <w:rPr>
          <w:rtl w:val="0"/>
        </w:rPr>
        <w:t xml:space="preserve">4.</w:t>
      </w:r>
      <w:r w:rsidR="00000000" w:rsidRPr="00000000" w:rsidDel="00000000">
        <w:rPr>
          <w:rtl w:val="0"/>
        </w:rPr>
        <w:t xml:space="preserve"> punktā minētās pēc 2018. gada 31. decembra pieejamās Eiropas Savienības Kohēzijas fonda finansējuma summas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Attiecināmais Eiropas Savienības Kohēzijas fonda finansējuma apmērs nepārsniedz 85 procentus no projektā plānotā kopējā attiecināmā finansējuma, un valsts budžeta vai privātais līdzfinansējums ir vismaz 15 procenti no projektā plānotā kopējā attiecināmā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sadarbības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pasākuma ietvaros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pārvaldes iestāde, kas pārvalda vides aizsardzības pasākumu un projektu īstenošanu, kā arī informē sabiedrību par vides stāvokli un Eiropas Savienības prasībām vides aizsardzības jomā, – Valsts reģionālās attīstības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kapitālsabiedrība, kurai ir deleģēti valsts pārvaldes uzdevumi valsts vides monitoringa veikšanai un vienotas vides informācijas sistēmas veidošanā un attīstībā, – Latvijas Vides, ģeoloģijas un meteoroloģijas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 MK 28.05.2019. noteikumiem Nr. 224)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minētais projekta iesniedzējs veic šo noteikumu 21.1., 21.2. un 21.3. apakšpunktā minētās atbalstāmās darbības, bet šo noteikumu </w:t>
      </w:r>
      <w:r w:rsidR="00000000" w:rsidRPr="00000000" w:rsidDel="00000000">
        <w:rPr>
          <w:rtl w:val="0"/>
        </w:rPr>
        <w:t xml:space="preserve">12.2.</w:t>
      </w:r>
      <w:r w:rsidR="00000000" w:rsidRPr="00000000" w:rsidDel="00000000">
        <w:rPr>
          <w:rtl w:val="0"/>
        </w:rPr>
        <w:t xml:space="preserve"> apakšpunktā minētais projekta iesniedzējs – šo noteikumu 21.1. un </w:t>
      </w:r>
      <w:r w:rsidR="00000000" w:rsidRPr="00000000" w:rsidDel="00000000">
        <w:rPr>
          <w:rtl w:val="0"/>
        </w:rPr>
        <w:t xml:space="preserve">21.4.</w:t>
      </w:r>
      <w:r w:rsidR="00000000" w:rsidRPr="00000000" w:rsidDel="00000000">
        <w:rPr>
          <w:rtl w:val="0"/>
        </w:rPr>
        <w:t xml:space="preserve"> apakšpunktā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minētais projekta iesniedzējs sadarbības partnera statusā var piesaistīt: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dienestu šo noteikumu </w:t>
      </w:r>
      <w:r w:rsidR="00000000" w:rsidRPr="00000000" w:rsidDel="00000000">
        <w:rPr>
          <w:rtl w:val="0"/>
        </w:rPr>
        <w:t xml:space="preserve">21.2.</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aizsardzības pārvaldi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Lauksaimniecības universitāti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Hidroekoloģijas institūtu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augu aizsardzības dienestu šo noteikumu </w:t>
      </w:r>
      <w:r w:rsidR="00000000" w:rsidRPr="00000000" w:rsidDel="00000000">
        <w:rPr>
          <w:rtl w:val="0"/>
        </w:rPr>
        <w:t xml:space="preserve">21.1.</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Rīgas Nacionālo zooloģisko dārzu šo noteikumu </w:t>
      </w:r>
      <w:r w:rsidR="00000000" w:rsidRPr="00000000" w:rsidDel="00000000">
        <w:rPr>
          <w:rtl w:val="0"/>
        </w:rPr>
        <w:t xml:space="preserve">21.3.</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Nacionālo botānisko dārzu šo noteikumu </w:t>
      </w:r>
      <w:r w:rsidR="00000000" w:rsidRPr="00000000" w:rsidDel="00000000">
        <w:rPr>
          <w:rtl w:val="0"/>
        </w:rPr>
        <w:t xml:space="preserve">21.3.</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Nacionālo dabas muzeju šo noteikumu </w:t>
      </w:r>
      <w:r w:rsidR="00000000" w:rsidRPr="00000000" w:rsidDel="00000000">
        <w:rPr>
          <w:rtl w:val="0"/>
        </w:rPr>
        <w:t xml:space="preserve">21.3.</w:t>
      </w:r>
      <w:r w:rsidR="00000000" w:rsidRPr="00000000" w:rsidDel="00000000">
        <w:rPr>
          <w:rtl w:val="0"/>
        </w:rPr>
        <w:t xml:space="preserve">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10.12.2020. noteikumiem Nr. 738)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12.2. apakšpunktā minētais projekta iesniedzējs sadarbības partnera statusā var piesaistīt valsts vienotā ģeotelpiskās informācijas portāla uzturētāju – Valsts reģionālās attīstības aģentūru – šo noteikumu 21.4.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ar sadarbības partneri slēdz rakstveida sadarbības līgumu par pušu pienākumiem, tiesībām un atbildību projekta mērķa, rezultātu un rādītāju sasniegšanā un šo noteikumu </w:t>
      </w:r>
      <w:r w:rsidR="00000000" w:rsidRPr="00000000" w:rsidDel="00000000">
        <w:rPr>
          <w:rtl w:val="0"/>
        </w:rPr>
        <w:t xml:space="preserve">33.</w:t>
      </w:r>
      <w:r w:rsidR="00000000" w:rsidRPr="00000000" w:rsidDel="00000000">
        <w:rPr>
          <w:rtl w:val="0"/>
        </w:rPr>
        <w:t xml:space="preserve"> punktā minēto prasību nodrošināšanā, kā arī izveidotās infrastruktūras vai iegādāto iekārtu uzturēšanā atbilstoši normatīvajiem aktiem par kārtību, kādā Eiropas Savienības struktūrfondu un Kohēzijas fonda vadībā iesaistītās institūcijas nodrošina plānošanas dokumentu sagatavošanu un šo fondu ieviešanu 2014.–2020. gada plānošanas periodā. Sadarbības partneris ir atbildīgs par projekta mērķa, rezultātu un rādītāju sasniegšanu tādā apjomā, kā noteikts sadarbības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partneris (ja attiecināms) iesaistās projekta īstenošanā ar tā resursiem, tai skaitā ar tā īpašumā, valdījumā, turējumā vai lietojumā esošo nekustamo īpašumu, kā arī nodrošina izveidotās infrastruktūras vai iegādāto iekārtu ekspluatāciju un uzturēšanu vismaz piecus gadus pēc noslēguma maksājuma veikšanas.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Šā pasākuma ietvaros netiek atbalstītas projekta iesniedzēja vai sadarbības partnera aktivitātes, kas ir kvalificējamas kā komercdarbības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iesniedzēji un sadarbības partneri (ja attiecināms), iesaistoties projekta īstenošanā, nodrošina, lai pasākuma ietvaros iegādātās iekārtas un izveidotās informācijas sistēmas tiek izmantotas tikai pārvaldes uzdevumu un deleģēto pārvaldes uzdevumu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sadarbībā ar sadarbības partneri (ja attiecināms) saskaņā ar projektu iesniegumu atlases nolikuma prasībām elektroniski sagatavo projekta iesniegumu un iesniedz to sadarbības iestādē, izmantojot Kohēzijas politikas fondu vadības informācijas sistēmu 2014.–2020. gadam.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plāno projekta sasniedzamos uzraudzības rādītājus un Eiropas Savienības Kohēzijas fonda finansējumu atbilstoši šo noteikumu pielikumā projektam noteiktajam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Pasākuma ietvaros saskaņā ar vides politikas plānošanas dokumentos, deleģēšanas vai sadarbības līgumos noteiktajiem uzdevumiem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vides politikas plānošanas dokumentiem par valsts monitoringa īstenošanu – pasākumi gaisa un klimata pārmaiņu, ūdeņu, zemes un bioloģiskās daudzveidības monitoringa programmās noteikto uzdevumu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pasākumi vides kontroles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nacionālas nozīmes vides informācijas un izglītības centru infrastruktūras izbūve un pilnveidošana;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pasākumi valsts vides monitoringa un citu vides datu apstrādei un uzglabāšanas infrastruktūras pilnveidošanai.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plāno tiešās un netiešās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Tiešās attiecināmās izmaksas ietver šādas izmaksu pozīcijas šo noteikumu </w:t>
      </w:r>
      <w:r w:rsidR="00000000" w:rsidRPr="00000000" w:rsidDel="00000000">
        <w:rPr>
          <w:rtl w:val="0"/>
        </w:rPr>
        <w:t xml:space="preserve">21.</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izstrādes, tai skaitā ar būvniecības ieceri un būvprojekta minimālā sastāvā sagatavošanu saistītās izmaksas, būvprojekta ekspertīzes izmaksas, ja ekspertīzes veikšanu nosaka būvniecības jomu regulējošie normatīvie akti, kā arī autoruzraudzības un būvdarbu būvuzraudzības izmaksas, ja to veikšanu nosaka būvniecības jomu regulējošie normatīvie akti, bet kopā ne vairāk kā 9 procenti no projekta iesniegumā plānotajām būvdarbu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monitoringa un kontroles iekārtu un aprīkojuma iegādes izmaksas, tai skaitā urbumu ierīkošanas, iekārtu un aprīkojuma piegādes, montāžas un ieregulēšanas izmaksas, darbinieku apmācības un sertifikācijas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infrastruktūras būvdarbu, esošās infrastruktūras pārbūves vai atjaunošanas izmaksas, tai skaitā vides un informācijas pieejamības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specializēti aprīkotu ūdens un sauszemes transportlīdzekļu iegādes izmaksas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minēto atbalstāmo darbību īstenošanai, ja tie ir cieši saistīti ar minēto darbību īstenošanu un nepieciešami iekārtu darbībai, mērķu sasniegšanai un monitoringa un kontroles funkciju nodrošināšanai, bet ne vairāk kā 10 procenti no šo noteikumu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šādas ar informācijas un komunikācijas tehnoloģijām saistītas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 kartogrāfiskā materiāla un datu iegādes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sērijveida programmatūras iegādes izmaksas, tai skaitā licenču atjauninājumu izmaksas licenču darbības periodā, kas nepārsniedz piecus gadus;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resursu digitalizācijas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importa un migrācijas veikšanas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sistēmas (transformācijas modeļu un datu kopas attēlošanas programmatūras) izstrādes un testēšanas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sistēmas konfigurēšanas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serveru tehnikas un tās uzstādīšanai nepieciešamās infrastruktūras iegādes izmaksas valsts vienotajam ģeotelpiskās informācijas portāla uzturētājam;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masīvu iekārtas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informatīvo materiālu izstrādes, pastāvīgo ekspozīciju izveides, izstāžu aprīkojuma iegādes izmaksas nacionālas nozīmes vides izglītības un informācijas centru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pasākumu izmaksas sabiedrības informēšanas, izglītošanas un iesaistes aktivitātēm, attīstot un pilnveidojot sabiedrības vides apziņu, nepārsniedzot 1 procentu no šo noteikumu </w:t>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apakšpunktā minētajām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atlīdzības izmaksas projekta īstenošanā iesaistītajam personālam, kas projektā tiek nodarbināts vismaz 30 procentu apmērā no darba laika, tai skaitā valsts sociālās apdrošināšanas obligātās iemaksas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minētajām atbalstāmajām darbībām, nepārsniedzot 1 procentu no šo noteikumu 23.1., 23.2., 23.3., 23.4., 23.5., 23.6. un 23.7. apakšpunktā minētajām izmaksām, bet šo noteikumu 21.4. apakšpunktā minētajai atbalstāmajai darbībai – 12 procentus no šo noteikumu 23.5. apakšpunktā minētajām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atlīdzības izmaksas projekta vadības personālam, kas projektā tiek nodarbināts vismaz 30 procentu apmērā no darba laika, pirmajā projektu iesniegumu atlases kārtā nepārsniedzot 56 580 </w:t>
      </w:r>
      <w:r w:rsidR="00000000" w:rsidRPr="00000000" w:rsidDel="00000000">
        <w:rPr>
          <w:i w:val="1"/>
          <w:rtl w:val="0"/>
        </w:rPr>
        <w:t xml:space="preserve">euro</w:t>
      </w:r>
      <w:r w:rsidR="00000000" w:rsidRPr="00000000" w:rsidDel="00000000">
        <w:rPr>
          <w:rtl w:val="0"/>
        </w:rPr>
        <w:t xml:space="preserve"> gadā, bet otrajā un trešajā projektu iesniegumu atlases kārtā – 24 426 </w:t>
      </w:r>
      <w:r w:rsidR="00000000" w:rsidRPr="00000000" w:rsidDel="00000000">
        <w:rPr>
          <w:i w:val="1"/>
          <w:rtl w:val="0"/>
        </w:rPr>
        <w:t xml:space="preserve">euro</w:t>
      </w:r>
      <w:r w:rsidR="00000000" w:rsidRPr="00000000" w:rsidDel="00000000">
        <w:rPr>
          <w:rtl w:val="0"/>
        </w:rPr>
        <w:t xml:space="preserve"> gadā, pieskaitot 0,64 % no projekta tiešajām attiecināmajām izmaksām un neieskaitot tiešās 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vietas aprīkojuma iegādes izmaksas jaunu darba vietu radīšanai vai esošo darba vietu atjaunošanai, uzturēšanai un remontam ne vairāk kā 3000 </w:t>
      </w:r>
      <w:r w:rsidR="00000000" w:rsidRPr="00000000" w:rsidDel="00000000">
        <w:rPr>
          <w:i w:val="1"/>
          <w:rtl w:val="0"/>
        </w:rPr>
        <w:t xml:space="preserve">euro </w:t>
      </w:r>
      <w:r w:rsidR="00000000" w:rsidRPr="00000000" w:rsidDel="00000000">
        <w:rPr>
          <w:rtl w:val="0"/>
        </w:rPr>
        <w:t xml:space="preserve">apmērā vienai darba vietai visā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nepārsniedzot 1 procentu no projekta kopējām tiešajām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 ieguves, analīzes, tehniski ekonomiskās un vides izpētes veikšanas izmaksas potenciāli jaunu ūdenssaimniecības aglomerāciju noteikšanas un attīstības novērtēšanai šo noteikumu 21.1.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236; MK 26.05.2020. noteikumiem Nr. 317; MK 10.12.2020. noteikumiem Nr. 738)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23.5.3., 23.5.4., 23.5.5., 23.5.6., 23.5.7. un 23.5.8. apakšpunktā minētās izmaksas piemēro šo noteikumu 21.4.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23.6. un 23.7. apakšpunktā minētās attiecināmās izmaksas piemēro šo noteikumu 21.3. apakšpunktā minētās atbalstāmās darbības īstenošanai. Šo noteikumu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un </w:t>
      </w:r>
      <w:r w:rsidR="00000000" w:rsidRPr="00000000" w:rsidDel="00000000">
        <w:rPr>
          <w:rtl w:val="0"/>
        </w:rPr>
        <w:t xml:space="preserve">23.5.</w:t>
      </w:r>
      <w:r w:rsidR="00000000" w:rsidRPr="00000000" w:rsidDel="00000000">
        <w:rPr>
          <w:rtl w:val="0"/>
        </w:rPr>
        <w:t xml:space="preserve"> apakšpunktā minētās izmaksas nepiemēro šo noteikumu </w:t>
      </w:r>
      <w:r w:rsidR="00000000" w:rsidRPr="00000000" w:rsidDel="00000000">
        <w:rPr>
          <w:rtl w:val="0"/>
        </w:rPr>
        <w:t xml:space="preserve">21.3.</w:t>
      </w:r>
      <w:r w:rsidR="00000000" w:rsidRPr="00000000" w:rsidDel="00000000">
        <w:rPr>
          <w:rtl w:val="0"/>
        </w:rPr>
        <w:t xml:space="preserve"> apakšpunktā minētās atbalstāmās darbības īstenošanai, šo noteikumu 23.1., 23.2., 23.3., 23.4., 23.6. un 23.7. apakšpunktā minētās izmaksas nepiemēro šo noteikumu 21.4. apakšpunktā minētās atbalstāmās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netiešās attiecināmās izmaksas šo noteikumu </w:t>
      </w:r>
      <w:r w:rsidR="00000000" w:rsidRPr="00000000" w:rsidDel="00000000">
        <w:rPr>
          <w:rtl w:val="0"/>
        </w:rPr>
        <w:t xml:space="preserve">21.</w:t>
      </w:r>
      <w:r w:rsidR="00000000" w:rsidRPr="00000000" w:rsidDel="00000000">
        <w:rPr>
          <w:rtl w:val="0"/>
        </w:rPr>
        <w:t xml:space="preserve"> punktā minēto atbalstāmo darbību īstenošanai plāno kā vienu izmaksu pozīciju, piemērojot netiešo izmaksu vienoto likmi 15 procentu apmērā no šo noteikumu </w:t>
      </w:r>
      <w:r w:rsidR="00000000" w:rsidRPr="00000000" w:rsidDel="00000000">
        <w:rPr>
          <w:rtl w:val="0"/>
        </w:rPr>
        <w:t xml:space="preserve">23.8.</w:t>
      </w:r>
      <w:r w:rsidR="00000000" w:rsidRPr="00000000" w:rsidDel="00000000">
        <w:rPr>
          <w:rtl w:val="0"/>
        </w:rPr>
        <w:t xml:space="preserve"> un </w:t>
      </w:r>
      <w:r w:rsidR="00000000" w:rsidRPr="00000000" w:rsidDel="00000000">
        <w:rPr>
          <w:rtl w:val="0"/>
        </w:rPr>
        <w:t xml:space="preserve">23.9.</w:t>
      </w:r>
      <w:r w:rsidR="00000000" w:rsidRPr="00000000" w:rsidDel="00000000">
        <w:rPr>
          <w:rtl w:val="0"/>
        </w:rPr>
        <w:t xml:space="preserve"> apakšpunktā minētajām izmaksām. Ja projekta īstenošanai tiek piesaistīts sadarbības partneris, netiešo attiecināmo izmaksu sadalījums starp projekta iesniedzēju un sadarbības partneri tiek noteikts sadarbības līgumā.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projekta vadības un projekta īstenošanas personāls iestādē veic pienākumus, kas ir saistīti ne tikai ar projektu, bet arī ar konkrētās iestādes pamatdarbību vai citu finanšu instrumentu administrēšanu, daļu no atlīdzības izmaksām var segt no projekta tiešajām attiecināmajām personāla izmaksām proporcionāli laikam, kurā tiek veikti ar projektu saistītie pienākumi, atbilstoši personāla darbalaika uzskaitei.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Neparedzētie izdevumi nepārsniedz 3 procentus no projekta kopējām tiešajām attiecināmajām izmaksām. Līdzekļus neparedzētiem izdevumiem izlieto, ja attiecīgie neparedzētie izdevumi ir iepriekš saskaņoti ar sadarbības iestādi saskaņā ar noslēgto līgumu vai vienošanos.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ietvaros iepirkumus veic saskaņā ar publiskos iepirkumus regulējošo normatīvo aktu prasībām, īstenojot atklātu, pārredzamu, nediskriminējošu un konkurenci neierobežojošu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27.09.2022. noteikumu Nr. 602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Atbalstāma ir vides prasību integrācija preču, pakalpojumu un būvdarbu iepirkumos (zaļais publiskais iepirkums).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Pasākuma ietvaros attiecināms ir projekta attiecināmo izmaksu pievienotās vērtības nodoklis, ja projekta iesniedzējs to nevar atgūt atbilstoši normatīvajiem aktiem nodokļu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izmaksas ir attiecināmas no dienas, kad ar šo noteikumu 12.1. un 12.2. apakšpunktā minēto projekta iesniedzēju ir noslēgts līgums vai vienošanās, bet otrās projektu iesniegumu atlases kārtas projektam – no 2018. gada 1. jūnija.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Pasākuma un projekta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ietvaros projektu īsteno saskaņā ar līgumu vai vienošanos ne ilgāk kā līdz 2023. gada 31. decembrim, izņemot šo noteikumu </w:t>
      </w:r>
      <w:r w:rsidR="00000000" w:rsidRPr="00000000" w:rsidDel="00000000">
        <w:rPr>
          <w:rtl w:val="0"/>
        </w:rPr>
        <w:t xml:space="preserve">21.4.</w:t>
      </w:r>
      <w:r w:rsidR="00000000" w:rsidRPr="00000000" w:rsidDel="00000000">
        <w:rPr>
          <w:rtl w:val="0"/>
        </w:rPr>
        <w:t xml:space="preserve"> apakšpunktā minētās atbalstāmās darbības ietvaros veicamos uzdevumus vides informācijas sistēmā publicējamo datu kopu sagatavošanai meklēšanas, lejupielādes un skatīšanās pakalpojumu nodrošināšanai, ko īsteno ne ilgāk kā līdz 2019. gada 31. decembrim, un gadījumus, kas minēti šo noteikumu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finansējuma saņēmējs vai sadarbības partneris līdz 2023. gada 31. decembrim nevar pilnībā pabeigt projektā plānotās darbības un sasniegt plānotos iznākuma rādītājus, finansējuma saņēmējs vai sadarbības partneris var pabeigt projektā plānotās darbības par saviem līdzekļiem un sasniegt plānotos iznākuma rādītājus līdz 2024. gada 31. oktobrim.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minētajos gadījumos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2023. gada 31. decembrim iesniedz sadarbības iestādē priekšlikumus par līguma vai vienošanās grozījumiem;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maksājuma pieprasījumu sagatavo par laikposmu līdz 2023. gada 31. decembrim un iesniedz to sadarbības iestādē ne vēlāk kā līdz 2024. gada 30. janvārim. Noslēguma maksājuma pieprasījumā nodala līdz 2023. gada 31. decembrim pabeigtās projekta darbības, veiktos izdevumus un sasniegtos iznākuma rādītājus no projekta darbībām, izdevumiem un iznākuma rādītājiem, kas tiks sasniegti laikposmā no 2024. gada 1. janvāra līdz projekta īstenošanas termiņa beigām, bet ne ilgāk kā līdz 2024. gada 31. oktobrim;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oktobrim iesniedz sadarbības iestādē pamatojošo dokumentāciju par pabeigtajām projekta darbībām un sasniegtajiem iznākuma rādītājiem.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Sadarbības iestāde pārbauda 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minētajā noslēguma maksājuma pieprasījumā iekļauto informāciju un veic maksājumus par noslēguma maksājuma pieprasījumā iekļautajiem izdevumiem, kas veikti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finansējuma saņēmējs vai sadarbības partneris šo noteikumu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minētajos gadījumos par saviem līdzekļiem nepabeidz visas plānotās projekta darbības un nesasniedz visus plānotos iznākuma rādītājus līdz 2024. gada 31. oktobrim, finansējuma saņēmējs saskaņā ar līgumu vai vienošanos atmaksā sadarbības iestādei visu projekta ietvaros saņemto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Īstenojot projektu, finansējuma saņēmējs un sadarbības partneris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ne retāk kā reizi trijos mēnešos ievieto aktuālu informāciju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 projekta izmaksu pieaugumu no saviem līdzekļiem, ja tie ir kapitālsabiedrības;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nav plānots tos finansēt vai līdzfinansēt no citiem valsts un ārvalstu finanšu atbalsta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 nodalot tā ietvaros veiktās darbības no citas saimnieciskās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nekustamais īpašums, kurā tiks veiktas projektā paredzētās darbības, ir projekta iesniedzēja vai tā sadarbības partnera (ja attiecināms) īpašumā, valdījumā, turējumā vai lietojumā projekta īstenošanas laikā un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projekta rezultātu ilgtspēju un uzturēšanu vismaz piecus gadus pēc noslēguma maksājuma veikšanas, bet, ja projekta ietvaros izveidotās infrastruktūras kalpošanas ilgums paredzēts ilgāks, tad visu projekta iesniegumā norādīto infrastruktūras kalpošanas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 (ja attiecināms) minēto rādītāju uzskaiti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uzkrāj datus par objektu skaitu, kuros Eiropas Savienības Kohēzijas fonda ieguldījumu rezultātā ir nodrošināta vides un informācijas pieejamība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projekta ietvaros tiek plānota šo noteikumu </w:t>
      </w:r>
      <w:r w:rsidR="00000000" w:rsidRPr="00000000" w:rsidDel="00000000">
        <w:rPr>
          <w:rtl w:val="0"/>
        </w:rPr>
        <w:t xml:space="preserve">4.3.1.</w:t>
      </w:r>
      <w:r w:rsidR="00000000" w:rsidRPr="00000000" w:rsidDel="00000000">
        <w:rPr>
          <w:rtl w:val="0"/>
        </w:rPr>
        <w:t xml:space="preserve"> apakšpunktā minētā rādītāja sasniegšana, nodrošina, ka projekta īstenošanas laikā un piecus gadus pēc noslēguma maksājuma veikšanas tiek veicināta vides apziņa kopā vismaz 15 000 cilvēku;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sniedz informāciju par enerģijas patēriņu pirms projekta īstenošanas un trīs gadus pēc noslēguma maksājuma veikšanas šo noteikumu </w:t>
      </w:r>
      <w:r w:rsidR="00000000" w:rsidRPr="00000000" w:rsidDel="00000000">
        <w:rPr>
          <w:rtl w:val="0"/>
        </w:rPr>
        <w:t xml:space="preserve">23.3.</w:t>
      </w:r>
      <w:r w:rsidR="00000000" w:rsidRPr="00000000" w:rsidDel="00000000">
        <w:rPr>
          <w:rtl w:val="0"/>
        </w:rPr>
        <w:t xml:space="preserve"> un </w:t>
      </w:r>
      <w:r w:rsidR="00000000" w:rsidRPr="00000000" w:rsidDel="00000000">
        <w:rPr>
          <w:rtl w:val="0"/>
        </w:rPr>
        <w:t xml:space="preserve">23.4.</w:t>
      </w:r>
      <w:r w:rsidR="00000000" w:rsidRPr="00000000" w:rsidDel="00000000">
        <w:rPr>
          <w:rtl w:val="0"/>
        </w:rPr>
        <w:t xml:space="preserve"> apakšpunktā minēto attiecināmo izmaksu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līguma vai vienošanās noslēgšanas sadarbības iestāde, pamatojoties uz finansējuma saņēmēja rakstisku avansa pieprasījumu atbilstoši normatīvajam aktam par valsts budžeta līdzekļu plānošanu Eiropas Savienības struktūrfondu un Kohēzijas fonda projektu īstenošanai un maksājumu veikšanu 2014.–2020. gada plānošanas periodā, nodrošina finansējuma saņēmējam avansa maksājumus, kurus var izmaksāt vairākos maksājumos un kuru kopsumma nepārsniedz 100 procentus no projektam piešķirtā Eiropas Savienības Kohēzijas fonda finansējuma un valsts budžeta finansējuma kopsummas, ja finansējuma saņēmējs ir šo noteikumu </w:t>
      </w:r>
      <w:r w:rsidR="00000000" w:rsidRPr="00000000" w:rsidDel="00000000">
        <w:rPr>
          <w:rtl w:val="0"/>
        </w:rPr>
        <w:t xml:space="preserve">12.2.</w:t>
      </w:r>
      <w:r w:rsidR="00000000" w:rsidRPr="00000000" w:rsidDel="00000000">
        <w:rPr>
          <w:rtl w:val="0"/>
        </w:rPr>
        <w:t xml:space="preserve"> apakšpunktā minētais projekta iesniedzējs.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iestādei ir tiesības vienpusēji atkāpties no līguma vai vienošanās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vai vienošanos, tai skaitā netiek ievēroti projektā noteiktie termiņi vai ir iestājušies citi apstākļi, kas būtiski ietekmē vai var ietekmēt pasākuma mērķa vai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nosaka līgums vai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īstenošanas vieta ir Latvijas Republika.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23-TA-2545</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23-TA-2545</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noteikumu_konsolidētā_versija_23-TA-2545.docx</dc:title>
</cp:coreProperties>
</file>

<file path=docProps/custom.xml><?xml version="1.0" encoding="utf-8"?>
<Properties xmlns="http://schemas.openxmlformats.org/officeDocument/2006/custom-properties" xmlns:vt="http://schemas.openxmlformats.org/officeDocument/2006/docPropsVTypes"/>
</file>