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jūnijā (prot. Nr. 22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"62. Mērķdotācijas pašvaldībām" programmas 02.00.00 "Mērķdotācijas pašvaldību tautas mākslas kolektīvu vadītāju darba samaksai un valsts sociālās apdrošināšanas obligātajām iemaksām"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budžetu un finanšu vadību  9. panta piecpadsmito daļu, atbalstīt apropriācijas pārdali 2025. gadā 10 988 </w:t>
      </w:r>
      <w:r w:rsidR="00000000" w:rsidRPr="00000000" w:rsidDel="00000000">
        <w:rPr>
          <w:i w:val="1"/>
          <w:rtl w:val="0"/>
        </w:rPr>
        <w:t xml:space="preserve">euro </w:t>
      </w:r>
      <w:r w:rsidR="00000000" w:rsidRPr="00000000" w:rsidDel="00000000">
        <w:rPr>
          <w:rtl w:val="0"/>
        </w:rPr>
        <w:t xml:space="preserve">apmērā no budžeta resora "62. Mērķdotācijas pašvaldībām" programmas 02.00.00 "Mērķdotācijas pašvaldību tautas mākslas kolektīvu vadītāju darba samaksai un valsts sociālās apdrošināšanas obligātajām iemaksām" uz Kultūras ministrijas budžeta programmu 21.00.00 "Kultūras mantojums", lai Latvijas Nacionālais kultūras centrs varētu nodrošināt valsts budžeta mērķdotācijas sadalījumu 2025. gadam māksliniecisko kolektīvu vadītāju darba samaksai un valsts sociālās apdrošināšanas obligātajām iemaksām atbilstoši māksliniecisko kolektīvu juridiskajai piederībai.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1. punktā minēto apropriācijas pārdali un pēc Saeimas atļaujas saņemšanas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25-TA-863</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25-TA-863</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rīkojuma_projekts_25-TA-863.docx</dc:title>
</cp:coreProperties>
</file>

<file path=docProps/custom.xml><?xml version="1.0" encoding="utf-8"?>
<Properties xmlns="http://schemas.openxmlformats.org/officeDocument/2006/custom-properties" xmlns:vt="http://schemas.openxmlformats.org/officeDocument/2006/docPropsVTypes"/>
</file>