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jūlijā (prot. Nr. 30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(Latvijas Vēstnesis, 2023, 243. nr.; 2024, 103.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līdz 2025. gada 30. jūnijam tādu mājsaimniecību, uzņēmumu, izglītības iestāžu, ārstniecības iestāžu un citu sabiedrisko ēku skaits, kurām ir piekļuve platjoslas savienojumiem ar ļoti augstas veiktspējas tīklu (turpmāk – uzraudzības rādītājs), – 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līdz 2025. gada 30. jūnijam tādu mājsaimniecību, uzņēmumu, izglītības iestāžu, ārstniecības iestāžu un citu sabiedrisko ēku skaits, kurām ir piekļuve platjoslas savienojumiem ar ļoti augstas veiktspējas tīklu, – 100 Latgales plānošanas reģionā, 100 Vidzemes plānošanas reģionā, 100 Rīgas plānošanas reģionā, 100 Zemgales plānošanas reģionā, 100 Kurzemes plānošanas reģionā;".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24-TA-1617</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24-TA-1617</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noteikumu_(grozījumu)_projekts_24-TA-1617.docx</dc:title>
</cp:coreProperties>
</file>

<file path=docProps/custom.xml><?xml version="1.0" encoding="utf-8"?>
<Properties xmlns="http://schemas.openxmlformats.org/officeDocument/2006/custom-properties" xmlns:vt="http://schemas.openxmlformats.org/officeDocument/2006/docPropsVTypes"/>
</file>