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Izņēmumu piemērošanas kārtība pilsoņu iesaukšanai aktīvajā dienestā, iedzīvotāju mobilizācijai, zemessargu mobilizācijai un pakļaušanai paaugstinātas gatavības režīmam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Mobilizācijas likuma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un Latvijas Republikas Zemessardzes likuma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piemēro izņēmumus Ministru kabineta lēmumā noteikto pilsoņu iesaukšanai aktīvajā dienestā un iedzīvotāju mobilizācijai civilās aizsardzības formējumos un civilās aizsardzības pasākumu veikšanai, kā arī kārtību, kādā Nacionālo bruņoto spēku rezerves uzskaites struktūrvienību informē par personām, kuras nav pakļautas mobilizācijai;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 izņēmumus Ministru kabineta lēmumā noteiktiem zemessargiem attiecībā uz mobilizāciju un pakļaušanu paaugstinātas gatavības režīmam, kā arī kārtību, kādā Zemessardze tiek informēta par zemessargiem, kuri nav pakļauti mobilizācijai un paaugstinātas gatavības režīmam.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Kritisko funkciju veikšanā iesaistīto valsts un pašvaldību institūciju vai publisko un privāto tiesību subjektu amatpersonu un darbinieku noteikšana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Izņēmumus pilsoņu iesaukšanai aktīvajā dienestā, iedzīvotāju mobilizācijai civilās aizsardzības formējumos un civilās aizsardzības pasākumu veikšanai, zemessargu mobilizācijai un pakļaušanai paaugstinātas gatavības režīmam (turpmāk – izņēmumi) var attiecināt uz personām, kuras ir iesaistītas šādu valsts un pašvaldību institūciju, kā arī publisko un privāto tiesību subjektu funkciju veikšanā (turpmāk – kritiskās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apdraudējuma pārvarēšanas pasākumi, kas noteikti Valsts aizsardzības plānā, Valsts civilās aizsardzības plānā un Valsts katastrofu medicīnas plānā;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kritiskās infrastruktūras un kritisko finanšu pakalpojumu darbības nepārtrauktības nodrošināšana minimālā apjomā.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institūcijas, kā arī publisko un privāto tiesību subjekti, kas veic kritiskās funkcijas, identificē nepieciešamo (minimālo) personālu kritisko funkciju veikšanai (turpmāk – kritiskais personāls), nosakot konkrētus amatus.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institūcijas, kā arī publisko un privāto tiesību subjekti, kas veic kritiskās funkcijas, elektroniski nosūta apstiprinātu kritiskā personāla sarakstu (norādot vārdu, uzvārdu un personas kodu, bet ārstniecības personām – arī specialitāti) Nacionālo bruņoto spēku rezerves uzskaites struktūrvienībai. Pašvaldību institūciju sagatavotos kritiskā personāla sarakstus pārbauda, apkopo un šajā punktā noteiktajā kārtībā nosūta attiecīgās pašvaldības.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un pašvaldību institūcijas, kā arī publisko un privāto tiesību subjekti, kas veic kritiskās funkcijas, saņemot šo noteikumu 5. punktā minēto informāciju, aizstāj kritiskā personāla sarakstā iekļautos rezerves karavīrus un zemessargus ar citām amatpersonām vai darbiniekiem un šo noteikumu 13. punktā minētajā kārtībā informē Nacionālo bruņoto spēku rezerves uzskaites struktūrvienību par kritiskā personāla sarakstā veiktajām izmaiņām. Ja objektīvu iemeslu dēļ nav iespējams kritiskā personāla sarakstā iekļauto rezerves karavīru vai zemessargu aizstāt ar citu amatpersonu vai darbinieku, attiecīgā valsts vai pašvaldības institūcija vai publisko un privāto tiesību subjekts, kas veic kritiskās funkcijas, par to informē Nacionālo bruņoto spēku rezerves uzskaites struktūrvienību vai Latvijas Republikas Zemessardzi, un uz konkrēto personu amata pildīšanas laikā tiek attiecināts izņēmums.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vai pašvaldības institūcijas kritiskā personāla sarakstu apstiprina tās vadītājs, bet publiskā vai privātā tiesību subjekta kritiskā personāla sarakstu – pilnvarotā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Izņēmums uz personu netiek attiecināts ar brīdi, kad persona tiek svītrota no kritiskā personāla saraksta.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sniegšana par personām, kurām piemēro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personām, kurām piemēro izņēmumu, pamatojoties uz Mobilizācijas likuma 14.</w:t>
      </w:r>
      <w:r w:rsidR="00000000" w:rsidRPr="00000000" w:rsidDel="00000000">
        <w:rPr>
          <w:vertAlign w:val="superscript"/>
          <w:rtl w:val="0"/>
        </w:rPr>
        <w:t xml:space="preserve">1</w:t>
      </w:r>
      <w:r w:rsidR="00000000" w:rsidRPr="00000000" w:rsidDel="00000000">
        <w:rPr>
          <w:rtl w:val="0"/>
        </w:rPr>
        <w:t xml:space="preserve"> panta pirmo daļu un Latvijas Republikas Zemessardzes likuma 4.</w:t>
      </w:r>
      <w:r w:rsidR="00000000" w:rsidRPr="00000000" w:rsidDel="00000000">
        <w:rPr>
          <w:vertAlign w:val="superscript"/>
          <w:rtl w:val="0"/>
        </w:rPr>
        <w:t xml:space="preserve">1</w:t>
      </w:r>
      <w:r w:rsidR="00000000" w:rsidRPr="00000000" w:rsidDel="00000000">
        <w:rPr>
          <w:rtl w:val="0"/>
        </w:rPr>
        <w:t xml:space="preserve"> panta pirmo daļu,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prezidenta kanceleja – par Valsts prezidentu un Valsts prezidenta kancelejas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Saeimas Administrācija – par Saeimas deputātiem, Saeimas Administrācijas ģenerālsekretāru un Saeimas Prezidija noteiktām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 vēlēšanu komisija – par Eiropas Parlamenta deputātiem;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 – par Ministru kabineta locekļiem un Valsts kancelejas direktoru;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attiecīgā ministrija – par ministrijas valsts sekretāru;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 – par Valsts ieņēmumu dienesta ģenerāldirektoru un Valsts kases pārvaldnieku;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Tiesībsarga birojs – par tiesībsargu;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Banka – par Latvijas Bankas prezidentu, prezidenta vietniekiem un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Republikas Valsts kontrole – par valsts kontrolieri un Valsts kontroles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Nacionālā elektronisko plašsaziņas līdzekļu padome – par Nacionālās elektronisko plašsaziņas līdzekļu padomes priekšsēdētāju, priekšsēdētāja vietnieku un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Sabiedrisko pakalpojumu regulēšanas komisija – par Sabiedrisko pakalpojumu regulēšanas komisijas padomes priekšsēdētāju un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Republikas Satversmes tiesa – par Satversmes tiesas tiesnešiem;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 – par apgabaltiesas tiesnešiem, rajona (pilsētas) tiesas tiesnešiem un Ieslodzījuma vietu pārvaldes amatpersonām ar speciālajām dienesta pakāpēm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Augstākā tiesa – par Augstākās tiesas tiesnešiem;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Ģenerālprokuratūra – par ģenerālprokuroru un prokuroriem, kas norīkoti darbam karatiesā;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Zvērinātu advokātu padome – par advokātiem, kas norīkoti darbam karatiesā;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Iekšlietu ministrija – par Iekšlietu ministrijas sistēmas iestāžu amatpersonām ar speciālajām dienesta pakāpēm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Ārlietu ministrija – par Latvijas Republikas diplomātisko un konsulāro pārstāvniecību ārvalstīs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pašvaldības dome – par pašvaldības deputātiem, pašvaldības izpilddirektoru, pašvaldības policijas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ostas policija – par ostas policijas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Korupcijas novēršanas un apkarošanas birojs – par Korupcijas novēršanas un apkarošanas biroja amatpersonām un darbiniekiem.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personām, kurām piemēro izņēmumu, pamatojoties uz Mobilizācijas likuma 14.</w:t>
      </w:r>
      <w:r w:rsidR="00000000" w:rsidRPr="00000000" w:rsidDel="00000000">
        <w:rPr>
          <w:vertAlign w:val="superscript"/>
          <w:rtl w:val="0"/>
        </w:rPr>
        <w:t xml:space="preserve">1</w:t>
      </w:r>
      <w:r w:rsidR="00000000" w:rsidRPr="00000000" w:rsidDel="00000000">
        <w:rPr>
          <w:rtl w:val="0"/>
        </w:rPr>
        <w:t xml:space="preserve"> panta otro daļu un Latvijas Republikas Zemessardzes likuma 4.</w:t>
      </w:r>
      <w:r w:rsidR="00000000" w:rsidRPr="00000000" w:rsidDel="00000000">
        <w:rPr>
          <w:vertAlign w:val="superscript"/>
          <w:rtl w:val="0"/>
        </w:rPr>
        <w:t xml:space="preserve">1</w:t>
      </w:r>
      <w:r w:rsidR="00000000" w:rsidRPr="00000000" w:rsidDel="00000000">
        <w:rPr>
          <w:rtl w:val="0"/>
        </w:rPr>
        <w:t xml:space="preserve"> panta otro daļu, sniedz valsts un pašvaldību institūcijas, kā arī publisko un privāto tiesību subjekti, kas veic kritiskās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Nacionālo bruņoto spēku rezerves uzskaites struktūrvienība un attiecīgā valsts drošības iestāde vienojas par atsevišķu kārtību, kādā tiek nodrošināts, ka uz Mobilizācijas likuma 14.</w:t>
      </w:r>
      <w:r w:rsidR="00000000" w:rsidRPr="00000000" w:rsidDel="00000000">
        <w:rPr>
          <w:vertAlign w:val="superscript"/>
          <w:rtl w:val="0"/>
        </w:rPr>
        <w:t xml:space="preserve">1</w:t>
      </w:r>
      <w:r w:rsidR="00000000" w:rsidRPr="00000000" w:rsidDel="00000000">
        <w:rPr>
          <w:rtl w:val="0"/>
        </w:rPr>
        <w:t xml:space="preserve"> panta pirmās daļas 24. punktā minētajām personām tiek attiecināti izņēmumi iesaukšanai aktīvajā dienestā un mobilizācijai civilās aizsardzības formējumos un civilās aizsardzības pasākumu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kritisko personālu ir klasificējama kā ierobežotas pieejamības informācija, ja citos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Nacionālo bruņoto spēku rezerves uzskaites struktūrvienībai par personām (norādot vārdu, uzvārdu un personas kodu, bet ārstniecības personām – arī specialitāti), kurām piemēro izņēmumu, šo noteikumu 9. un 10. punktā minētās atbildīgās institūcijas nosūta elektroniski vai izvēloties citu nosūtīšanas veidu, ja tas nepieciešams, lai nodrošinātu attiecīgās informācijas aizsardzību, šādos gadījumos un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aktualizētu uzskaites datus par personām, kurām piemērojami izņēmumi, – ne retāk kā reizi gadā (līdz kārtējā gada 1. martam) vai pēc izmaiņu veikšanas kritiskā personāla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apdraudējuma gadījumā – pēc atsevišķa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Nacionālo bruņoto spēku rezerves uzskaites struktūrvienība un Latvijas Republikas Zemessardze pēc informācijas saņemšanas nodrošina, ka kritiskais personāls uz amata ieņemšanas laiku netiek iesaukts aktīvajā dienestā mobilizācijas gadījumā, netiek mobilizēts civilās aizsardzības formējumos un civilās aizsardzības pasākumu veikšanai vai pakļauts paaugstinātas gatavības režīmam.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un pašvaldības institūcija, kā arī publisko un privāto tiesību subjekts, kas veic kritiskās funkcijas, ir atbildīgs, ka kritiskā personāla sarakstā iekļautā persona tiek informēta par viņai noteikto izņēmumu, kā arī par likuma "Par ārkārtējo situāciju un izņēmuma stāvokli" 17. panta pirmās daļas 23. punktā noteikto aizliegumu.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2021. gada 6. jūlija noteikumus Nr. 507 "Izņēmumu piemērošanas kārtība pilsoņu iesaukšanai aktīvajā dienestā un iedzīvotāju mobilizācijai" (Latvijas Vēstnesis, 2021, 131.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22-TA-2309</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22-TA-2309</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noteikumu_projekts_22-TA-2309.docx</dc:title>
</cp:coreProperties>
</file>

<file path=docProps/custom.xml><?xml version="1.0" encoding="utf-8"?>
<Properties xmlns="http://schemas.openxmlformats.org/officeDocument/2006/custom-properties" xmlns:vt="http://schemas.openxmlformats.org/officeDocument/2006/docPropsVTypes"/>
</file>