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19.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28. jūnija noteikumos Nr. 500 "Noteikumi par transportējamām spiedieniekārtām"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atbilstības novērtēšanu</w:t>
      </w:r>
      <w:r w:rsidR="00000000" w:rsidRPr="00000000" w:rsidDel="00000000">
        <w:rPr>
          <w:rStyle w:val="paragraph"/>
          <w:i w:val="1"/>
          <w:rtl w:val="0"/>
        </w:rPr>
        <w:t xml:space="preserve">" 7.pantu un likuma</w:t>
      </w:r>
      <w:r>
        <w:br/>
      </w:r>
      <w:r w:rsidR="00000000" w:rsidRPr="00000000" w:rsidDel="00000000">
        <w:rPr>
          <w:rStyle w:val="paragraph"/>
          <w:i w:val="1"/>
          <w:rtl w:val="0"/>
        </w:rPr>
        <w:t xml:space="preserve">"</w:t>
      </w:r>
      <w:r w:rsidR="00000000" w:rsidRPr="00000000" w:rsidDel="00000000">
        <w:rPr>
          <w:rStyle w:val="paragraph"/>
          <w:i w:val="1"/>
          <w:rtl w:val="0"/>
        </w:rPr>
        <w:t xml:space="preserve">Par bīstamo iekārtu tehnisko uzraudzību</w:t>
      </w:r>
      <w:r w:rsidR="00000000" w:rsidRPr="00000000" w:rsidDel="00000000">
        <w:rPr>
          <w:rStyle w:val="paragraph"/>
          <w:i w:val="1"/>
          <w:rtl w:val="0"/>
        </w:rPr>
        <w:t xml:space="preserve">" 3.panta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2011. gada 28. jūnija noteikumos Nr. 500 "Noteikumi par transportējamām spiedieniekārtām" (Latvijas Vēstnesis, 2011, 101., 155. nr.; 2012, 194. nr.; 2013, 250. nr.; 2014, 252. nr.; 2015, 64. nr.; 2017, 237. nr.; 2021, 106.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krīzē būtiskas preces – Eiropas Parlamenta un Padomes 2024. gada 9. oktobra Regulas 2024/2747, ar ko izveido pasākumu satvaru saistībā ar iekšējā tirgus ārkārtas situāciju un iekšējā tirgus noturību un groza Padomes Regulu (EK) Nr. 2679/98 (Iekšējā tirgus ārkārtas situācijas un noturības akts) (turpmāk – regula 2024/2747), 3. panta 6. punktā definētās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"2.24. iekšējā tirgus ārkārtas situācijas režīms – regulas 2024/2747 3. panta 3. punktā definētais režīms.";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Šo noteikumu 87. punktā minētajiem korektīvajiem pasākumiem piemēro Eiropas Parlamenta un Padomes 2008. gada 9. jūlija Regulas (EK) Nr. 765/2008, ar ko nosaka akreditācijas un tirgus uzraudzības prasības attiecībā uz produktu tirdzniecību un atceļ Regulu (EEK) Nr. 339/93, 21. panta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Tādu transportējamo spiedieniekārtu novērtēšana, kuras atzītas par krīzē būtiskām precēm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w:t>
      </w:r>
      <w:r w:rsidR="00000000" w:rsidRPr="00000000" w:rsidDel="00000000">
        <w:rPr>
          <w:rtl w:val="0"/>
        </w:rPr>
        <w:t xml:space="preserve"> Paziņotā institūcija prioritārā kārtā izskata pieteikumus par tādu transportējamo spiedieniekārtu atbilstības novērtēšanu, kuras atzītas par krīzē būtiskām precēm.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 Paziņotā institūcija nerada nesamērīgas papildu izmaksas ražotājiem, kas prioritārā kārtā iesnieguši šo noteikumu 100.</w:t>
      </w:r>
      <w:r w:rsidR="00000000" w:rsidRPr="00000000" w:rsidDel="00000000">
        <w:rPr>
          <w:vertAlign w:val="superscript"/>
          <w:rtl w:val="0"/>
        </w:rPr>
        <w:t xml:space="preserve">1</w:t>
      </w:r>
      <w:r w:rsidR="00000000" w:rsidRPr="00000000" w:rsidDel="00000000">
        <w:rPr>
          <w:rtl w:val="0"/>
        </w:rPr>
        <w:t xml:space="preserve"> punktā minētos pieteikumus.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3</w:t>
      </w:r>
      <w:r w:rsidR="00000000" w:rsidRPr="00000000" w:rsidDel="00000000">
        <w:rPr>
          <w:rtl w:val="0"/>
        </w:rPr>
        <w:t xml:space="preserve"> Paziņotā institūcija iekšējā tirgus ārkārtas situācijas režīmā cenšas palielināt savas testēšanas iespējas attiecībā uz transportējamām spiedieniekārtām, kuras atzītas par krīzē būtiskām precēm un par kurām tai ir paziņots.";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Krīzē būtiskām precēm pieļaujamā atkāpe attiecībā uz atbilstības novērtēšanas procedūrām, kurās ir iesaistīta paziņotā institūcija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tādas transportējamās spiedieniekārtas, kurām nav veiktas ADR nolīgumā vai RID noteikumos minētās atbilstības novērtēšanas procedūras, ja ir apliecināta atbilstība šo noteikumu 4. punktā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100.</w:t>
      </w:r>
      <w:r w:rsidR="00000000" w:rsidRPr="00000000" w:rsidDel="00000000">
        <w:rPr>
          <w:vertAlign w:val="superscript"/>
          <w:rtl w:val="0"/>
        </w:rPr>
        <w:t xml:space="preserve">4</w:t>
      </w:r>
      <w:r w:rsidR="00000000" w:rsidRPr="00000000" w:rsidDel="00000000">
        <w:rPr>
          <w:rtl w:val="0"/>
        </w:rPr>
        <w:t xml:space="preserve"> un 100.</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7</w:t>
      </w:r>
      <w:r w:rsidR="00000000" w:rsidRPr="00000000" w:rsidDel="00000000">
        <w:rPr>
          <w:rtl w:val="0"/>
        </w:rPr>
        <w:t xml:space="preserve"> Uz transportējamās spiedieniekārtas, kuru saskaņā ar šo noteikumu 100.</w:t>
      </w:r>
      <w:r w:rsidR="00000000" w:rsidRPr="00000000" w:rsidDel="00000000">
        <w:rPr>
          <w:vertAlign w:val="superscript"/>
          <w:rtl w:val="0"/>
        </w:rPr>
        <w:t xml:space="preserve">4</w:t>
      </w:r>
      <w:r w:rsidR="00000000" w:rsidRPr="00000000" w:rsidDel="00000000">
        <w:rPr>
          <w:rtl w:val="0"/>
        </w:rPr>
        <w:t xml:space="preserve"> punktā minēto atkāpi atļauts laist tirgū, izvieto norādi, ka tā ir krīzē būtiska prece. Norāde ir valsts valodā, tā ir skaidra un saprotama.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8</w:t>
      </w:r>
      <w:r w:rsidR="00000000" w:rsidRPr="00000000" w:rsidDel="00000000">
        <w:rPr>
          <w:rtl w:val="0"/>
        </w:rPr>
        <w:t xml:space="preserve"> Transportējamās spiedieniekārtas ražotāji, pamatojoties uz šo noteikumu 15. punktā minēto tehnisko dokumentāciju, apliecina, ka to transportējamā spiedieniekārta, kurai piemēro šo noteikumu 100.</w:t>
      </w:r>
      <w:r w:rsidR="00000000" w:rsidRPr="00000000" w:rsidDel="00000000">
        <w:rPr>
          <w:vertAlign w:val="superscript"/>
          <w:rtl w:val="0"/>
        </w:rPr>
        <w:t xml:space="preserve">4</w:t>
      </w:r>
      <w:r w:rsidR="00000000" w:rsidRPr="00000000" w:rsidDel="00000000">
        <w:rPr>
          <w:rtl w:val="0"/>
        </w:rPr>
        <w:t xml:space="preserve"> punktā minēto atkāpi, atbilst visām šo noteikumu 4. punktā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 Tirgus uzraudzības iestāde atļaujā, kas izsniegta, pamatojoties uz šo noteikumu 100.</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1. procedūru aprakstu, ar kurām pierādīta atbilstība šo noteikumu 4. punktā minētajām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2. īpašās prasības attiecībā uz konkrētās transportējamās spiedieniekārtas izsekojamību;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3. atļaujas derīguma termiņa pēdējo dienu, kas nevar būt vēlāka par tā laikposma pēdējo dienu, kad aktivizēts iekšējā tirgus ārkārtas situācijas režīms saskaņā ar regulas 2024/2747 18.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4. īpašās prasības, kas attiecas uz nepieciešamību nodrošināt nepārtrauktu konkrētās transportējamās spiedieniekārtas atbilstības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9</w:t>
      </w:r>
      <w:r w:rsidR="00000000" w:rsidRPr="00000000" w:rsidDel="00000000">
        <w:rPr>
          <w:rtl w:val="0"/>
        </w:rPr>
        <w:t xml:space="preserve">5. pasākumus, kas jāveic attiecībā uz konkrēto tirgū laisto transportējamo spiedieniekārtu pēc iekšējā tirgus ārkārtas situācijas režīma izbeigšanās vai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10</w:t>
      </w:r>
      <w:r w:rsidR="00000000" w:rsidRPr="00000000" w:rsidDel="00000000">
        <w:rPr>
          <w:rtl w:val="0"/>
        </w:rPr>
        <w:t xml:space="preserve"> Uz transportējamās spiedieniekārtas, kurai piemēro šo noteikumu 100.</w:t>
      </w:r>
      <w:r w:rsidR="00000000" w:rsidRPr="00000000" w:rsidDel="00000000">
        <w:rPr>
          <w:vertAlign w:val="superscript"/>
          <w:rtl w:val="0"/>
        </w:rPr>
        <w:t xml:space="preserve">4</w:t>
      </w:r>
      <w:r w:rsidR="00000000" w:rsidRPr="00000000" w:rsidDel="00000000">
        <w:rPr>
          <w:rtl w:val="0"/>
        </w:rPr>
        <w:t xml:space="preserve"> punktā minēto atkāpi, neizvieto "pī" zīmi.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100.</w:t>
      </w:r>
      <w:r w:rsidR="00000000" w:rsidRPr="00000000" w:rsidDel="00000000">
        <w:rPr>
          <w:vertAlign w:val="superscript"/>
          <w:rtl w:val="0"/>
        </w:rPr>
        <w:t xml:space="preserve">4</w:t>
      </w:r>
      <w:r w:rsidR="00000000" w:rsidRPr="00000000" w:rsidDel="00000000">
        <w:rPr>
          <w:rtl w:val="0"/>
        </w:rPr>
        <w:t xml:space="preserve"> un 100.</w:t>
      </w:r>
      <w:r w:rsidR="00000000" w:rsidRPr="00000000" w:rsidDel="00000000">
        <w:rPr>
          <w:vertAlign w:val="superscript"/>
          <w:rtl w:val="0"/>
        </w:rPr>
        <w:t xml:space="preserve">5</w:t>
      </w:r>
      <w:r w:rsidR="00000000" w:rsidRPr="00000000" w:rsidDel="00000000">
        <w:rPr>
          <w:rtl w:val="0"/>
        </w:rPr>
        <w:t xml:space="preserve"> punktu, ir tiesīga transportējamai spiedieniekārtai veikt visas korektīvās un ierobežojošās darbības, kas paredzētas šajos noteikumos un Eiropas Parlamenta un Padomes 2019. gada 20. jūnija Regulā 2019/1020 par tirgus uzraudzību un produktu atbilstību un ar ko groza Direktīvu 2004/42/EK un Regulas (EK) Nr. 765/2008 un (ES) Nr. 305/2011.</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12</w:t>
      </w:r>
      <w:r w:rsidR="00000000" w:rsidRPr="00000000" w:rsidDel="00000000">
        <w:rPr>
          <w:rtl w:val="0"/>
        </w:rPr>
        <w:t xml:space="preserve"> Šo noteikumu 100.</w:t>
      </w:r>
      <w:r w:rsidR="00000000" w:rsidRPr="00000000" w:rsidDel="00000000">
        <w:rPr>
          <w:vertAlign w:val="superscript"/>
          <w:rtl w:val="0"/>
        </w:rPr>
        <w:t xml:space="preserve">4</w:t>
      </w:r>
      <w:r w:rsidR="00000000" w:rsidRPr="00000000" w:rsidDel="00000000">
        <w:rPr>
          <w:rtl w:val="0"/>
        </w:rPr>
        <w:t xml:space="preserve">, 100.</w:t>
      </w:r>
      <w:r w:rsidR="00000000" w:rsidRPr="00000000" w:rsidDel="00000000">
        <w:rPr>
          <w:vertAlign w:val="superscript"/>
          <w:rtl w:val="0"/>
        </w:rPr>
        <w:t xml:space="preserve">5</w:t>
      </w:r>
      <w:r w:rsidR="00000000" w:rsidRPr="00000000" w:rsidDel="00000000">
        <w:rPr>
          <w:rtl w:val="0"/>
        </w:rPr>
        <w:t xml:space="preserve">, 100.</w:t>
      </w:r>
      <w:r w:rsidR="00000000" w:rsidRPr="00000000" w:rsidDel="00000000">
        <w:rPr>
          <w:vertAlign w:val="superscript"/>
          <w:rtl w:val="0"/>
        </w:rPr>
        <w:t xml:space="preserve">6</w:t>
      </w:r>
      <w:r w:rsidR="00000000" w:rsidRPr="00000000" w:rsidDel="00000000">
        <w:rPr>
          <w:rtl w:val="0"/>
        </w:rPr>
        <w:t xml:space="preserve"> un 100.</w:t>
      </w:r>
      <w:r w:rsidR="00000000" w:rsidRPr="00000000" w:rsidDel="00000000">
        <w:rPr>
          <w:vertAlign w:val="superscript"/>
          <w:rtl w:val="0"/>
        </w:rPr>
        <w:t xml:space="preserve">7</w:t>
      </w:r>
      <w:r w:rsidR="00000000" w:rsidRPr="00000000" w:rsidDel="00000000">
        <w:rPr>
          <w:rtl w:val="0"/>
        </w:rPr>
        <w:t xml:space="preserve"> punktā minētās atļaujas piešķiršanas procedūra neietekmē ADR nolīgumā vai RID noteikumos noteikto attiecīgo atbilstības novērtēšanas procedūru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13</w:t>
      </w:r>
      <w:r w:rsidR="00000000" w:rsidRPr="00000000" w:rsidDel="00000000">
        <w:rPr>
          <w:rtl w:val="0"/>
        </w:rPr>
        <w:t xml:space="preserve"> Tirgus uzraudzības iestādes prioritāri uzrauga transportējamās spiedieniekārtas, kuras atzītas par krīzē būtiskām precēm.";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2010. gada 16. jūnija Direktīvas 2010/35/ES par pārvietojamām spiediena iekārtām un par Padomes Direktīvu 76/767/EEK, 84/525/EEK, 84/526/EEK, 84/527/EEK un 1999/36/EK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2024. gada 9. oktobra Direktīvas 2024/2749,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30.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26-TA-276</w:t>
    </w:r>
    <w:r>
      <w:br/>
    </w:r>
    <w:r w:rsidR="00000000" w:rsidRPr="00000000" w:rsidDel="00000000">
      <w:rPr>
        <w:rtl w:val="0"/>
      </w:rPr>
      <w:t xml:space="preserve">Izdrukāts 29.07.2026. 21.28 - 1.0.VK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26-TA-276</w:t>
    </w:r>
    <w:r>
      <w:br/>
    </w:r>
    <w:r w:rsidR="00000000" w:rsidRPr="00000000" w:rsidDel="00000000">
      <w:rPr>
        <w:rtl w:val="0"/>
      </w:rPr>
      <w:t xml:space="preserve">Izdrukāts 29.07.2026. 21.28 - 1.0.VK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noteikumu_(grozījumu)_projekts_26-TA-276.docx</dc:title>
</cp:coreProperties>
</file>

<file path=docProps/custom.xml><?xml version="1.0" encoding="utf-8"?>
<Properties xmlns="http://schemas.openxmlformats.org/officeDocument/2006/custom-properties" xmlns:vt="http://schemas.openxmlformats.org/officeDocument/2006/docPropsVTypes"/>
</file>