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benzīna un dīzeļdegvielas atbilstības novērtēšanu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atbilstības novērtēšanas objekta - benzīna un dīzeļdegvielas, būtiskās prasības un atbilstības specifikācijas un to ievērošanas uzraudzības mehānismu un institūcijas, kuras veic uzraudzību un minētās uzraudzības veikšanas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Benzīns ir jebkura gaistoša minerāleļļa, kas atbilst Kombinētās nomenklatūras kodiem 2710 12 41, 2710 12 45, 2710 12 49, 2710 12 51 un 2710 12 59 un paredzēta transportlīdzekļu iekšdedzes dzinējiem ar dzirksteļaizdedzi.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Dīzeļdegviela ir gāzeļļa, kas atbilst Kombinētās nomenklatūras kodiem 2710 19 43 un 2710 20 11 un paredzēta transportlīdzekļu iekšdedzes dzinējiem ar kompresijas aizdedzi.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Nr.168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Gāzeļļa ir naftas produkts, kas atbilst Kombinētās nomenklatūras kodiem 2710 19 43 un 2710 20 11 un paredzēts lietošanai visurgājējā tehnikā, lauksaimniecības un mežsaimniecības traktoros, atpūtas kuģos, kā arī dzinējos, kuri minēti normatīvajos aktos par atpūtas kuģu būvniecību, atbilstības novērtēšanu un piedāvāšanu tirgū, normatīvajos aktos par autoceļiem neparedzētās mobilās tehnikas iekšdedzes motoru radīto piesārņojošo vielu emisiju gaisā un normatīvajos aktos par lauksaimniecībā vai mežsaimniecībā izmantojamo traktoru, piekabju un to sastāvdaļu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Parafinizēta dīzeļdegviela ir degviela, kuru iegūst sintētiski vai ar hidroattīrīšanas paņēmienu un kuras kvalitātes prasības atbilst standartam LVS EN 15940 +A1+AC:2019 "Automobiļu degviela. Sintētiski vai ar hidroattīrīšanas paņēmienu iegūta parafinizētā dīzeļdegviela. Prasības un testēšanas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45 redakcijā, kas grozīta ar MK 10.12.2019. noteikumiem Nr. 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Noteikumi attiecas uz Latvijas tirgū piedāvātajām degvielām, ko izmanto autotransporta līdzekļu un visurgājēja tehnikas (tostarp iekšējo ūdensceļu kuģu, kad tie nekuģo jūrā), lauksaimniecības un mežsaimniecības traktoru, kā arī atpūtas kuģu, kad tie nekuģo jūrā, dzirksteļaizdedzes dzinēju un kompresijaizdedzes dzinēju darbināšanai, ņemot vērā šo dzinēju tehniskās prasības saistībā ar veselības aizsardzību un vides aizsardzību.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benzīnam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mazumtirdzniecības vietās, kur realizē benzīnu, norāda benzīna marku.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aizliegts realizēt svinu saturošu benzīnu (benzīns, kura sastāvā svina savienojumi, pārrēķināti tīra svina daudzumā, pārsniedz 0,005 g/l).</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30.07.2002. noteikumu Nr.328 redakcijā, kas grozīta ar MK 14.12.2004. noteikumiem Nr.1020)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14.12.2004. noteikumiem Nr.1020)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bāzes metodi (pamatmetode konkrēta benzīna parametra noteikšanai) svina satura noteikšanai jebkura veida benzīnā izmanto standartā LVS EN 237 "Zemas svina koncentrācijas noteikšana ar atomabsorbcijas spektrometrijas metodi" noteikto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Latvijā atļauts realizēt benzīnu, kas paredzēts iekšdedzes dzinēju ar dzirksteles aizdedzi darbināšanai un kura kvalitātes rādītāji atbilst šo noteikumu </w:t>
      </w:r>
      <w:r w:rsidR="00000000" w:rsidRPr="00000000" w:rsidDel="00000000">
        <w:rPr>
          <w:rtl w:val="0"/>
        </w:rPr>
        <w:t xml:space="preserve">1.</w:t>
      </w:r>
      <w:r w:rsidR="00000000" w:rsidRPr="00000000" w:rsidDel="00000000">
        <w:rPr>
          <w:rtl w:val="0"/>
        </w:rPr>
        <w:t xml:space="preserve">pielikumā noteiktajiem rādītājiem un normatīvajiem aktiem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Benzīnu, kura pētnieciskais oktānskaitlis ir 95 vai lielāks, bet mazāks par 98 (95. markas benzīns), atļauts realizēt tikai tad, ja tam ir pievienots bioetanols, kas atbilst normatīvajiem aktiem par biodegvielu un bioloģisko šķidro kurināmo ilgtspējas kritērijiem, to ieviešanas mehānismu un uzraudzības un kontroles kārtību, ne mazāk kā 9,5 tilpumprocentu apjomā no kopējā maisījuma tilpuma. Benzīnu, kura pētnieciskais oktānskaitlis ir 98 vai lielāks, bet mazāks par 100 (98. markas benzīns), atļauts realizēt tikai tad, ja tam ir pievienots bioetanols, kas atbilst normatīvajiem aktiem par biodegvielu un bioloģisko šķidro kurināmo ilgtspējas kritērijiem, to ieviešanas mehānismu un uzraudzības un kontroles kārtību, ne vairāk kā 5 tilpumprocentu apjomā no kopējā maisījuma tilpuma.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 sk. 34.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minētās prasības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benzīnu, kuru izmanto sacīkšu sporta automašīnu iekšdedzes dzinējos ar dzirksteles aizdedzi, ja sacīkšu sporta automašīna noteiktā kārībā ir reģistrēta Ceļu satiksmes drošības direkcijā un transportlīdzekļa reģistrācijas apliecībā ir atzīme “sporta”;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benzīnu, kuru izmanto aviācijas transporta dzinējos.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Metālu piedevas metilciklopentadiēnilmangāna trikarbonila (MMT) saturs degvielā nedrīkst pārsniegt 6 mg Mn uz litru. Ja komersants degvielai, kura tiek realizēta mazumtirdzniecībā, ir pievienojis metālu piedevas, visās degvielas tirdzniecības vietās, kurās patērētājiem ir pieejama degviela ar metālu piedevām, labi redzamā vietā izliek norādes par metālu piedevas saturu degvielā ar šādu marķējuma tekstu: "Satur metālu piedevas". Šo marķējumu izvieto kopā ar informāciju par degvielas tipu. Marķējuma un burtu izmēriem jābūt tādiem, lai tie būtu labi saredzami un viegli salasāmi.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dīzeļdegvielai un gāzeļļai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14.12.2004. noteikumu Nr.1020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Latvijā atļauts realizēt dīzeļdegvielu, kas paredzēta iekšdedzes dzinēju ar kompresijas aizdedzi darbināšanai un kuras kvalitātes rādītāji atbilst šo noteikumu </w:t>
      </w:r>
      <w:r w:rsidR="00000000" w:rsidRPr="00000000" w:rsidDel="00000000">
        <w:rPr>
          <w:rtl w:val="0"/>
        </w:rPr>
        <w:t xml:space="preserve">2.</w:t>
      </w:r>
      <w:r w:rsidR="00000000" w:rsidRPr="00000000" w:rsidDel="00000000">
        <w:rPr>
          <w:rtl w:val="0"/>
        </w:rPr>
        <w:t xml:space="preserve">pielikumā noteiktajiem rādītājiem un normatīvajiem aktiem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Dīzeļdegvielu atļauts realizēt tikai tad, ja tai ir pievienota biodegviela, kas atbilst normatīvajiem aktiem par biodegvielu un bioloģisko šķidro kurināmo ilgtspējas kritērijiem, to ieviešanas mehānismu un uzraudzības un kontroles kārtību, ne mazāk kā 6,5 tilpumprocentu apjomā no kopējā maisījuma tilpuma.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minētās prasības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dīzeļdegvielu, kuru izmanto jūras transporta flotes kuģu dzinējos;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dīzeļdegvielu, kuru izmanto aviācijas transporta dzinējos;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arktiskos un bargos ziemas apstākļos izmantojamu 0., 1., 2., 3. un 4. klases dīzeļdegvielu atbilstoši standartam LVS EN 590+A1:2017 "Automobiļu degvielas. Dīzeļdegviela. Prasības un testēšanas metodes", kura tiek realizēta: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mazumtirdzniecībā, ja degvielas mazumtirgotājs realizē no degvielas vairumtirgotāja saņemto degvielu;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mazumtirdzniecībā, ja degvielas mazumtirgotājs realizē laikposmā no 1. novembra līdz 1. aprīlim paša importēto vai no Eiropas Savienības dalībvalsts ievesto degvielu;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vairumtirdzniecībā, ja laikposmā no 1. novembra līdz 1. aprīlim to realizē komersanti, kuriem ir speciāla atļauja (licence) degvielas vairumtirdzniecībai vai speciāla atļauja (licence) apstiprināta noliktavas turētāja darbībai, vai speciāla atļauja (licence) reģistrēta saņēmēja darbībai (izņemot realizāciju atliktā akcīzes nodokļa maksāšanas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 648 redakcijā, kas grozīta ar MK 21.06.2011. noteikumiem Nr. 493; MK 01.04.2014. noteikumiem Nr. 168; MK 23.01.2018. noteikumiem Nr. 45; MK 10.12.2019.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21.06.2011. noteikumiem Nr.493)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Benzīna un dīzeļdegvielas atbilstības novērtēšana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Benzīna un dīzeļdegvielas (turpmāk – degviela) atbilstību šo noteikumu prasībām apliecina ar atbilstības sertifikātu, kuru izsniegusi sertifikācijas institūcija, kas akreditēta nacionālajā akreditācijas institūcijā atbilstoši normatīvajiem aktiem par atbilstības novērtēšanas institūciju novērtēšanu, akreditāciju un uzraudzību, vai citas Eiropas Savienības dalībvalsts akreditēta atbilstības novērtēšanas institūcija. Akreditēta atbilstības novērtēšanas institūcija atbilstības sertifikātu izsniedz, pamatojoties uz akreditētas testēšanas laboratorijas testēšanas pārskatiem, interpretējot  tos atbilstoši standartam LVS EN ISO 4259:2007 "Naftas produkti – Datu precizitātes noteikšana un lietošana testēšanas metodēs".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Piegādājot citā Eiropas Savienības dalībvalstī ražotu degvielu tās realizācijai Latvijā, degvielas atbilstību šo noteikumu prasībām var apliecināt arī ar atbilstības apliecinājumu, kam pievienots akreditētas testēšanas laboratorijas degvielas testēšanas pārskats par attiecīgo degvielas partiju.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Piegādātājs atbilstības apliecinājumā iekļauj vismaz šādu informāciju: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nosaukums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nosaukums, adrese un tvertnes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benzīna vai dīzeļdegvielas marka un galvenie raksturotāji;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benzīna vai dīzeļdegvielas partijas identifikācija;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benzīna vai dīzeļdegvielas daudzums;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akreditētas (atbilstoši LVS EN ISO/IEC 17025 standarta prasībām) testēšanas laboratorijas nosaukums, akreditācijas institūcija, testēšanas pārskata numurs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par degvielas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deklarācijas izsniedzēja amats, paraksts, tā atšifrējums, datums un izsniegšanas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22.04.2004. noteikumu Nr.386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Degvielas mazumtirdzniecības vietās uz degvielas uzpildes staciju tehnoloģiskajām iekārtām (degvielas uzpildes automātiem) no 1. novembra līdz 1. aprīlim patērētājam labi redzamā vietā norāda dīzeļdegvielas aukstā filtra nosprostošanās punktu (grādos pēc Celsija) un degvielas klasi atbilstoši standartam LVS EN 590+A1:2017 "Automobiļu degvielas. Dīzeļdegviela. Prasības un testēšanas metodes". Degvielas uzpildes iekārtu sūkņus un degvielas uzpildes iekārtu pistoles marķē atbilstoši standartā LVS EN 16942:2017 "Degvielas. Transportlīdzekļu savietojamības identificēšana. Grafiskais attēlojums lietotāju informācijai" ietvertajām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Visus ar degvielas atbilstības novērtēšanu saistītos izdevumus sedz degvielas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Degvielas tirgus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izpildi atbilstoši kompetencei uzrauga Būvniecības valsts kontroles birojs un Patērētāju tiesību aizsardzības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valsts kontroles birojs, organizējot ikgadējo degvielas kvalitātes monitoringu, ievēro standartā LVS EN 14274:2013 "Automobiļu degvielas. Benzīna un dīzeļdegvielas kvalitātes novērtēšana. Degvielas kvalitātes monitoringa sistēma (FQMS)" ietvertās prasības. Degvielas paraugu testēšanu veic akreditētā atbilstības novērtēšanas institūcijā, ievērojot testēšanas metodes, kas noteiktas standartos LVS EN 228+A1:2017 "Automobiļu degvielas. Bezsvina benzīns. Prasības un testa metodes", LVS EN 590+A1:2017 "Automobiļu degvielas. Dīzeļdegviela. Prasības un testēšanas metodes" un LVS EN 16640:2017 "Bioloģiskas izcelsmes produkti. Bioloģiskas izcelsmes oglekļa saturs. Bioloģiskas izcelsmes oglekļa satura noteikšana ar radioaktīvā oglekļa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Degvielas importētājs, ražotājs, vairumtirgotājs vai mazumtirgotājs pēc Būvniecības valsts kontroles biroja pieprasījuma uzrāda degvielas kvalitātes atbilstību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 degvielas kvalitātes atbilstības uzraudzību saistītos izdevumus sedz no Būvniecības valsts kontroles biroja līdzekļiem, bet, ja tiek konstatēts, ka degviela neatbilst šajos noteikumos norādītajām prasībām, minētos izdevumus sedz attiecīgais degvielas īpašnieks vai valdītājs 20 darbdienu laikā pēc rēķina saņemšanas no Būvniecības valsts kontroles biroja.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Degvielas importētājs, ražotājs, vairumtirgotājs vai mazumtirgotājs ir atbildīgs par šajos noteikumos minēto prasību ievērošanu.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prasībām neatbilstošas degvielas glabāšanas, transportēšanas un iznīcināšanas (pārstrādes) izdevumus sedz degvielas īpašnieks vai valdītājs.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Uzņēmumi, kuri realizē šo noteikumu </w:t>
      </w:r>
      <w:r w:rsidR="00000000" w:rsidRPr="00000000" w:rsidDel="00000000">
        <w:rPr>
          <w:rtl w:val="0"/>
        </w:rPr>
        <w:t xml:space="preserve">32.</w:t>
      </w:r>
      <w:r w:rsidR="00000000" w:rsidRPr="00000000" w:rsidDel="00000000">
        <w:rPr>
          <w:rtl w:val="0"/>
        </w:rPr>
        <w:t xml:space="preserve">punktā minēto dīzeļdegvielu, nodrošina tās atsevišķu glabāšanu, uzskaiti un realizāciju. Minētie uzņēmumi ir atbildīgi par šīs dīzeļdegvielas realizāciju izmantošanai tikai dzelzceļa transportlīdzekļos un lauksaimniecības un mežsaimniecības traktoros.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Reizi gadā Vides aizsardzības un reģionālās attīstības ministrija iesniedz Eiropas Komisijai atbilstošu vides informāciju par attiecīgo aglomerāciju vai zonu, kā arī ierosināto pasākumu paredzamo iedarbību uz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 1020 redakcijā, kas grozīta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katru gadu līdz 1. jūnijam iesniedz Būvniecības valsts kontroles birojam informāciju par Latvijā realizēto benzīna un dīzeļdegvielas apjomu (informāciju iegūst saskaņā ar normatīvajiem aktiem akcīzes preču aprites jomā). Būvniecības valsts kontroles birojs katru gadu līdz 15. jūlijam sagatavo degvielas kvalitātes pārskatu par iepriekšējo gadu atbilstoši veidlapai, kas publicēta Eiropas Vides aģentūras uzturētajā tīmekļvietnē. Uzraudzības institūcija katru gadu līdz 31. augustam iesniedz degvielas kvalitātes pārskatu Eiropas Vides informācijas un novērojumu tīklā (EIONET) un informē par to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izsludināta valsts enerģētiskā krīze, komersanti, kas sniedz naftas produktu drošības rezervju pakalpojumu valsts naftas produktu (degvielas) drošības rezervju izveidei, kā arī citi komersanti, kas realizē degvielu, ir tiesīgi realizēt valsts naftas produktu drošības rezervēs uzglabāto naftas produktu (degvielas) apjomu bez biodegvielas.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493 redakcijā, kas grozīta ar MK 10.12.2019. noteikumiem Nr. 640)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ar 2002.gada 1.janvāri.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8.7. un 9.5.apakšpunkts stājas spēkā ar 2009.gada 1.janvāri. Uzņēmumi, kuriem pieder vismaz 30 degvielas uzpildes stacijas, nodrošina, lai 8.7. un 9.5.apakšpunkta prasībām atbilstošs benzīns un dīzeļdegviela ar 2005.gada 1.janvāri ir pieejami vismaz vienā no šo uzņēmumu degvielas uzpildes stacijām, kas transporta plūsmas apkalpošanai izvietotas gar kādu no galvenajiem valsts autoceļiem. Šajās tirdzniecības vietās uzņēmējs izvieto norādes par attiecīgo degvielas veidu atrašanos tirdzniecībā, kā arī nodrošina ar šo informāciju visas degvielas uzpildes stacijas, kas transporta plūsmas apkalpošanai izvietotas gar attiecīgo galveno valsts autoceļu līdz nākamajai šāda veida degvielas uzpildes stacijai.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8.5. un 8.6.apakšpunkts stājas spēkā ar 2003.gada 1.maiju.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18.03.2003. noteikumu Nr.116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2005.gada 1.janvāra līdz 2008.gada 31.decembrim pieļaujamais sēra saturs benzīnā un dīzeļdegvielā, ko nosaka, lietojot standartā LVS EN ISO 20884 "Naftas produkti — Sēra satura noteikšana degvielā — Viļņu garuma dispersīvās rentgenfluorescences spektroskopijas metode" vai standartā LVS EN ISO 20847 "Naftas produkti — Sēra satura noteikšana degvielā — Enerģijas dispersīvās rentgenfluorescences metode", vai standartā LVS EN ISO 20846 "Naftas produkti — Sēra satura noteikšana automobiļu degvielā — Ultravioletās fluorescences metode" noteiktās metodes, nedrīkst pārsniegt 50 mg/kg (strīda gadījumā lieto standartā LVS EN ISO 20884 noteikto metodi). Latvijas Republikā līdz 2004.gada 31.decembrim ievesto benzīnu un dīzeļ­degvielu, kur pieļaujamais sēra saturs, kas noteikts, lietojot minētajos standartos paredzētās metodes, pārsniedz 50 mg/kg, bet nepārsniedz attiecīgi 150 mg/kg (benzīnam) vai 350 mg/kg (dīzeļdegvielai), drīkst realizēt: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ir izsniegta licence akcīzes preču noliktavas tu­rētāja un apstiprināta tirgotāja darbībai, — līdz 2005.gada 1.maijam;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kuriem ir izsniegta licence degvielas vairumtirdznie­cībai, — līdz 2005.gada 1.maijam;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komersanti, kuriem ir izsniegta licence degvielas mazumtirdznie­cībai, — līdz 2005.gada 1.jūnijam.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 kas grozīta ar MK 08.02.2005. noteikumiem Nr.113)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Degvielas uzpildes stacijās, kas transporta plūsmas apkalpošanai izvietotas gar galvenajiem valsts autoceļiem, no 2005.gada 1.janvāra līdz 2008.gada 31.decembrim jābūt norādei par tuvākajām degvielas uzpildes stacijām, kurās ir pieejams šo noteikumu 8.7. un 9.5.apakšpunkta prasībām atbilstošs benzīns un dīzeļdegviela.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22.04.2004. noteikumiem Nr. 386)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2009.gada 1.janvārī spēku zaudē šo noteikumu 8.3.3.apakšpunkts un spēkā stājas norma, kas nosaka, ka aromātisko savienojumu maksimālā vērtība nedrīkst pārsniegt 35,0 % (v/v) no kopējā tilpuma benzīnam, kas paredzēts iekšdedzes dzinēju ar dzirksteles aizdedzi darbināšanai.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Līdz 2008.gada 1.janvārim maksimālais sēra saturs dīzeļdegvielā, kuru paredzēts izmantot visurgājējā tehnikā, lauksaimniecības un mežsaimniecības traktoros (maksimālo sēra saturu nosaka, lietojot standartā LVS EN ISO 20846 "Naftas produkti — Sēra satura noteikšana automobiļu degvielā — Ultravioletās fluorescences metode" vai standartā LVS EN ISO 20847 "Naftas produkti — Sēra satura noteikšana automobiļu degvielā — Enerģijas dispersīvā rentgenfluorescences spektroskopijas metode", vai standartā LVS EN ISO 20884 "Naftas produkti — Sēra satura noteikšana automobiļu degvielā — Viļņu garuma dispersīvās rentgenfluorescences spektroskopijas metode" noteiktās metodes), nedrīkst pārsniegt 2000 mg/kg no dīzeļdegvielas masas, par ko ir attiecīga norāde tirdzniecības vietā (strīda gadījumā lieto standartā LVS EN ISO 20884 noteikto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punkts stājas spēkā 2009.gada 1.oktobrī.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Komersants, kas līdz 2009.gada 15.oktobrim Valsts ieņēmumu dienestā ir deklarējis enerģētiskās krīzes periodiem paredzētas naftas produktu rezerves, kuru kvalitāte atbilst degvielas kvalitātes prasībām, kas ir spēkā līdz 2009.gada 30.septembrim, ir tiesīgs deklarēto degvielas apjomu realizēt līdz 2010.gada 30.aprīlim.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03.11.2009. noteikumu Nr.1295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 2014.gada 1.janvāra metālu piedevas metilciklopentadiēnilmangāna trikarbonila (MMT) saturs degvielā nedrīkst pārsniegt 2 mg Mn uz litru.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2011.gada 31.decembrim dīzeļdegvielā, kuru paredzēts izmantot dzelzceļa transportlīdzekļos un lauksaimniecības un mežsaimniecības traktoros, esošais maksimālais sēra saturs nedrīkst pārsniegt 1000 mg/kg.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ieņēmumu dienests pēc Būvniecības valsts kontroles biroja pieprasījuma sniedz tam pieejamo informāciju par veiktajām degvielas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1 </w:t>
      </w:r>
      <w:r w:rsidR="00000000" w:rsidRPr="00000000" w:rsidDel="00000000">
        <w:rPr>
          <w:rtl w:val="0"/>
        </w:rPr>
        <w:t xml:space="preserve">punktā minētās prasības neattiecas uz 95. markas benzīnu, kura realizācija mazumtirdzniecībā uzsākta pirms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Degvielas mazumtirgotājs šo noteikumu 9.</w:t>
      </w:r>
      <w:r w:rsidR="00000000" w:rsidRPr="00000000" w:rsidDel="00000000">
        <w:rPr>
          <w:vertAlign w:val="superscript"/>
          <w:rtl w:val="0"/>
        </w:rPr>
        <w:t xml:space="preserve">2 </w:t>
      </w:r>
      <w:r w:rsidR="00000000" w:rsidRPr="00000000" w:rsidDel="00000000">
        <w:rPr>
          <w:rtl w:val="0"/>
        </w:rPr>
        <w:t xml:space="preserve">3.2. apakšpunktā un 13.</w:t>
      </w:r>
      <w:r w:rsidR="00000000" w:rsidRPr="00000000" w:rsidDel="00000000">
        <w:rPr>
          <w:vertAlign w:val="superscript"/>
          <w:rtl w:val="0"/>
        </w:rPr>
        <w:t xml:space="preserve">1</w:t>
      </w:r>
      <w:r w:rsidR="00000000" w:rsidRPr="00000000" w:rsidDel="00000000">
        <w:rPr>
          <w:rtl w:val="0"/>
        </w:rPr>
        <w:t xml:space="preserve"> punktā minētos nosacījumus, bet komersants šo noteikumu 9.</w:t>
      </w:r>
      <w:r w:rsidR="00000000" w:rsidRPr="00000000" w:rsidDel="00000000">
        <w:rPr>
          <w:vertAlign w:val="superscript"/>
          <w:rtl w:val="0"/>
        </w:rPr>
        <w:t xml:space="preserve">2 </w:t>
      </w:r>
      <w:r w:rsidR="00000000" w:rsidRPr="00000000" w:rsidDel="00000000">
        <w:rPr>
          <w:rtl w:val="0"/>
        </w:rPr>
        <w:t xml:space="preserve">3.3. apakšpunktā un 13.</w:t>
      </w:r>
      <w:r w:rsidR="00000000" w:rsidRPr="00000000" w:rsidDel="00000000">
        <w:rPr>
          <w:vertAlign w:val="superscript"/>
          <w:rtl w:val="0"/>
        </w:rPr>
        <w:t xml:space="preserve">1</w:t>
      </w:r>
      <w:r w:rsidR="00000000" w:rsidRPr="00000000" w:rsidDel="00000000">
        <w:rPr>
          <w:rtl w:val="0"/>
        </w:rPr>
        <w:t xml:space="preserve"> punktā minētos nosacījumus 2020. gadā var piemērot no 7. līdz 17. aprīlim. Šādā gadījumā degvielas mazumtirgotājs un komersants minētos nosacījumus 2020. gadā atkal uzsāk piemērot ne agrāk kā no 17.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2 </w:t>
      </w:r>
      <w:r w:rsidR="00000000" w:rsidRPr="00000000" w:rsidDel="00000000">
        <w:rPr>
          <w:rtl w:val="0"/>
        </w:rPr>
        <w:t xml:space="preserve">3.2. apakšpunktā minētais degvielas mazumtirgotājs un šo noteikumu 9.</w:t>
      </w:r>
      <w:r w:rsidR="00000000" w:rsidRPr="00000000" w:rsidDel="00000000">
        <w:rPr>
          <w:vertAlign w:val="superscript"/>
          <w:rtl w:val="0"/>
        </w:rPr>
        <w:t xml:space="preserve">2 </w:t>
      </w:r>
      <w:r w:rsidR="00000000" w:rsidRPr="00000000" w:rsidDel="00000000">
        <w:rPr>
          <w:rtl w:val="0"/>
        </w:rPr>
        <w:t xml:space="preserve">3.3. apakšpunktā minētais komersants līdz 2020. gada 10. aprīlim paziņo Būvniecības valsts kontroles birojam termiņu, no kura šo noteikumu 35. punktā minētie nosacījumi tiks piemēroti 2020. gadā, ievērojot, ka šo noteikumu 9.</w:t>
      </w:r>
      <w:r w:rsidR="00000000" w:rsidRPr="00000000" w:rsidDel="00000000">
        <w:rPr>
          <w:vertAlign w:val="superscript"/>
          <w:rtl w:val="0"/>
        </w:rPr>
        <w:t xml:space="preserve">2 </w:t>
      </w:r>
      <w:r w:rsidR="00000000" w:rsidRPr="00000000" w:rsidDel="00000000">
        <w:rPr>
          <w:rtl w:val="0"/>
        </w:rPr>
        <w:t xml:space="preserve">3.</w:t>
      </w:r>
      <w:r w:rsidR="00000000" w:rsidRPr="00000000" w:rsidDel="00000000">
        <w:rPr>
          <w:rtl w:val="0"/>
        </w:rPr>
        <w:t xml:space="preserve"> apakšpunktā minētās degvielas realizācijas pārtraukumam Latvijā jābūt vismaz septiņi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Periodā no 2022. gada 1. jūlija līdz 2023. gada 31. decembrim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noteiktās prasības nav obligāti piemērojamas. Degvielas mazumtirgotājs vai 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minētais komersants var izvēlēties, vai piemērot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1998. gada 13. oktobra Direktīvas </w:t>
      </w:r>
      <w:r w:rsidR="00000000" w:rsidRPr="00000000" w:rsidDel="00000000">
        <w:rPr>
          <w:rtl w:val="0"/>
        </w:rPr>
        <w:t xml:space="preserve">98/70/EK</w:t>
      </w:r>
      <w:r w:rsidR="00000000" w:rsidRPr="00000000" w:rsidDel="00000000">
        <w:rPr>
          <w:rtl w:val="0"/>
        </w:rPr>
        <w:t xml:space="preserve">, kas attiecas uz benzīna un dīzeļdegvielas kvalitāti un ar ko groza Padomes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2000. gada 7. novembra Direktīvas </w:t>
      </w:r>
      <w:r w:rsidR="00000000" w:rsidRPr="00000000" w:rsidDel="00000000">
        <w:rPr>
          <w:rtl w:val="0"/>
        </w:rPr>
        <w:t xml:space="preserve">2000/71/EK</w:t>
      </w:r>
      <w:r w:rsidR="00000000" w:rsidRPr="00000000" w:rsidDel="00000000">
        <w:rPr>
          <w:rtl w:val="0"/>
        </w:rPr>
        <w:t xml:space="preserve">, ar ko Eiropas Parlamenta un Padomes Direktīvas </w:t>
      </w:r>
      <w:r w:rsidR="00000000" w:rsidRPr="00000000" w:rsidDel="00000000">
        <w:rPr>
          <w:rtl w:val="0"/>
        </w:rPr>
        <w:t xml:space="preserve">98/70/EK</w:t>
      </w:r>
      <w:r w:rsidR="00000000" w:rsidRPr="00000000" w:rsidDel="00000000">
        <w:rPr>
          <w:rtl w:val="0"/>
        </w:rPr>
        <w:t xml:space="preserve"> I, II, III un IV pielikumā izklāstītās mērīšanas metodes pielāgo tehnikas attīstībai, kā paredzēts minētās direktīvas 10. pantā;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2003. gada 3. marta Direktīvas </w:t>
      </w:r>
      <w:r w:rsidR="00000000" w:rsidRPr="00000000" w:rsidDel="00000000">
        <w:rPr>
          <w:rtl w:val="0"/>
        </w:rPr>
        <w:t xml:space="preserve">2003/17/EK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kas attiecas uz benzīna un dīzeļdegvielas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2009/30/EK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attiecībā uz benzīna, dīzeļdegvielas un gāzeļļas specifikācijām un ievieš mehānismu autotransporta līdzekļos lietojamās degvielas radītās siltumnīcefekta gāzu emisijas kontrolei un samazināšanai, groza Padomes Direktīvu </w:t>
      </w:r>
      <w:r w:rsidR="00000000" w:rsidRPr="00000000" w:rsidDel="00000000">
        <w:rPr>
          <w:rtl w:val="0"/>
        </w:rPr>
        <w:t xml:space="preserve">1999/32/EK</w:t>
      </w:r>
      <w:r w:rsidR="00000000" w:rsidRPr="00000000" w:rsidDel="00000000">
        <w:rPr>
          <w:rtl w:val="0"/>
        </w:rPr>
        <w:t xml:space="preserve"> attiecībā uz tās degvielas specifikācijām, kuru lieto iekšējo ūdensceļu kuģos, un atceļ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2011. gada 1. jūnija Direktīvas </w:t>
      </w:r>
      <w:r w:rsidR="00000000" w:rsidRPr="00000000" w:rsidDel="00000000">
        <w:rPr>
          <w:rtl w:val="0"/>
        </w:rPr>
        <w:t xml:space="preserve">2011/63/ES</w:t>
      </w:r>
      <w:r w:rsidR="00000000" w:rsidRPr="00000000" w:rsidDel="00000000">
        <w:rPr>
          <w:rtl w:val="0"/>
        </w:rPr>
        <w:t xml:space="preserve">, ar kuru, pielāgojot tehnikas attīstībai, groza Eiropas Parlamenta un Padomes Direktīvu </w:t>
      </w:r>
      <w:r w:rsidR="00000000" w:rsidRPr="00000000" w:rsidDel="00000000">
        <w:rPr>
          <w:rtl w:val="0"/>
        </w:rPr>
        <w:t xml:space="preserve">98/70/EK</w:t>
      </w:r>
      <w:r w:rsidR="00000000" w:rsidRPr="00000000" w:rsidDel="00000000">
        <w:rPr>
          <w:rtl w:val="0"/>
        </w:rPr>
        <w:t xml:space="preserve">, kas attiecas uz benzīna un dīzeļdegvielu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2014. gada 10. jūnija Direktīvas </w:t>
      </w:r>
      <w:r w:rsidR="00000000" w:rsidRPr="00000000" w:rsidDel="00000000">
        <w:rPr>
          <w:rtl w:val="0"/>
        </w:rPr>
        <w:t xml:space="preserve">2014/77/ES</w:t>
      </w:r>
      <w:r w:rsidR="00000000" w:rsidRPr="00000000" w:rsidDel="00000000">
        <w:rPr>
          <w:rtl w:val="0"/>
        </w:rPr>
        <w:t xml:space="preserve">, ar kuru groza Eiropas Parlamenta un Padomes Direktīvas </w:t>
      </w:r>
      <w:r w:rsidR="00000000" w:rsidRPr="00000000" w:rsidDel="00000000">
        <w:rPr>
          <w:rtl w:val="0"/>
        </w:rPr>
        <w:t xml:space="preserve">98/70/EK</w:t>
      </w:r>
      <w:r w:rsidR="00000000" w:rsidRPr="00000000" w:rsidDel="00000000">
        <w:rPr>
          <w:rtl w:val="0"/>
        </w:rPr>
        <w:t xml:space="preserve"> I un II pielikumu, kas attiecas uz benzīna un dīzeļdegvielu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2014. gada 22. oktobra Direktīvas </w:t>
      </w:r>
      <w:r w:rsidR="00000000" w:rsidRPr="00000000" w:rsidDel="00000000">
        <w:rPr>
          <w:rtl w:val="0"/>
        </w:rPr>
        <w:t xml:space="preserve">2014/94/ES</w:t>
      </w:r>
      <w:r w:rsidR="00000000" w:rsidRPr="00000000" w:rsidDel="00000000">
        <w:rPr>
          <w:rtl w:val="0"/>
        </w:rPr>
        <w:t xml:space="preserve"> par alternatīvo degvielu infrastruktūras ieviešanu;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2015. gada 9. septembra Direktīvas (ES) </w:t>
      </w:r>
      <w:r w:rsidR="00000000" w:rsidRPr="00000000" w:rsidDel="00000000">
        <w:rPr>
          <w:rtl w:val="0"/>
        </w:rPr>
        <w:t xml:space="preserve">2015/1513</w:t>
      </w:r>
      <w:r w:rsidR="00000000" w:rsidRPr="00000000" w:rsidDel="00000000">
        <w:rPr>
          <w:rtl w:val="0"/>
        </w:rPr>
        <w:t xml:space="preserve">, ar kuru groza Direktīvu </w:t>
      </w:r>
      <w:r w:rsidR="00000000" w:rsidRPr="00000000" w:rsidDel="00000000">
        <w:rPr>
          <w:rtl w:val="0"/>
        </w:rPr>
        <w:t xml:space="preserve">98/70/EK</w:t>
      </w:r>
      <w:r w:rsidR="00000000" w:rsidRPr="00000000" w:rsidDel="00000000">
        <w:rPr>
          <w:rtl w:val="0"/>
        </w:rPr>
        <w:t xml:space="preserve">, kas attiecas uz benzīna un dīzeļdegvielu kvalitāti, un Direktīvu </w:t>
      </w:r>
      <w:r w:rsidR="00000000" w:rsidRPr="00000000" w:rsidDel="00000000">
        <w:rPr>
          <w:rtl w:val="0"/>
        </w:rPr>
        <w:t xml:space="preserve">2009/28/EK</w:t>
      </w:r>
      <w:r w:rsidR="00000000" w:rsidRPr="00000000" w:rsidDel="00000000">
        <w:rPr>
          <w:rtl w:val="0"/>
        </w:rPr>
        <w:t xml:space="preserve"> par atjaunojamo energoresursu izmantošanas veicināšanu.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22-TA-1510</w:t>
    </w:r>
    <w:r>
      <w:br/>
    </w:r>
    <w:r w:rsidR="00000000" w:rsidRPr="00000000" w:rsidDel="00000000">
      <w:rPr>
        <w:rtl w:val="0"/>
      </w:rPr>
      <w:t xml:space="preserve">Izdrukāts 30.07.2026. 00.20 - 5.0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22-TA-1510</w:t>
    </w:r>
    <w:r>
      <w:br/>
    </w:r>
    <w:r w:rsidR="00000000" w:rsidRPr="00000000" w:rsidDel="00000000">
      <w:rPr>
        <w:rtl w:val="0"/>
      </w:rPr>
      <w:t xml:space="preserve">Izdrukāts 30.07.2026. 00.20 - 5.0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noteikumu_konsolidētā_versija_22-TA-1510.docx</dc:title>
</cp:coreProperties>
</file>

<file path=docProps/custom.xml><?xml version="1.0" encoding="utf-8"?>
<Properties xmlns="http://schemas.openxmlformats.org/officeDocument/2006/custom-properties" xmlns:vt="http://schemas.openxmlformats.org/officeDocument/2006/docPropsVTypes"/>
</file>