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435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15. jūlijā (prot. Nr. 28 17.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2024. gada 30. aprīļa noteikumos Nr. 272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4.3.3.7. pasākuma "Valsts darba inspekcijas veiktspējas stiprināšana un pakalpojumu modernizēšana"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fondu 2021.–2027. gada plānošanas perioda vadības likuma 19. panta 6. un 13. punktu</w:t>
      </w:r>
      <w:r>
        <w:br/>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2024. gada 30. aprīļa noteikumos Nr. 272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4.3.3.7. pasākuma "Valsts darba inspekcijas veiktspējas stiprināšana un pakalpojumu modernizēšana" īstenošanas noteikumi" (Latvijas Vēstnesis, 2024, 86.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15.1.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"15.1. projekta vadības un īstenošanas personāla izmaksas;".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15.2.2.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"15.2.2. iekšzemes komandējumu un darba braucienu izmaksas finansējuma saņēmēja projekta vadības un īstenošanas personālam šo noteikumu 13.1., 13.2., 13.4. un 13.6. apakšpunktā minētās atbalstāmās darbības īstenošanai, kā arī šo noteikumu 3.1. apakšpunktā minētajai mērķa grupai šo noteikumu 13.1., 13.2. un 13.4. apakšpunktā minētās atbalstāmās darbības īstenošanai. Iekšzemes komandējumu un darba braucienu izmaksām piemēro vadošās iestādes metodikas par vienas vienības izmaksu standarta likmes aprēķinu un piemērošanu 1 km izmaksām un iekšzemes komandējumu izmaksām;".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Svītrot 15.2.4.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Svītrot 16.1.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16.7.1.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"16.7.1. ēdināšanas un kafijas paužu izmaksas;".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24.1.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"24.1. nodibina civildienesta vai darba tiesiskās attiecības ar projekta vadības un projekta īstenošanas personālu vai piesaista pakalpojumu sniedzēju šo noteikumu 24.2. apakšpunktā minētajā kārtībā. Ja tiek dibinātas civildienesta vai darba tiesiskās attiecības, paredzot atlīdzības izmaksas, personālu nodarbina normālu vai nepilnu darba laiku, tai skaitā atlīdzībai var piemērot daļlaika izmaksu attiecināmības principu. Ja personāla atlīdzībai piemēro daļlaika izmaksu attiecināmības principu, veic personāla darba laika uzskaiti par nostrādāto laiku un veiktajām funkcijām;".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24.4.2.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"24.4.2. parakstījuši apliecinājumus par interešu konflikta neesību saskaņā ar Eiropas Parlamenta un Padomes 2024. gada 23. septembra Regulas (ES, </w:t>
      </w:r>
      <w:r w:rsidR="00000000" w:rsidRPr="00000000" w:rsidDel="00000000">
        <w:rPr>
          <w:i w:val="1"/>
          <w:rtl w:val="0"/>
        </w:rPr>
        <w:t xml:space="preserve">Euratom</w:t>
      </w:r>
      <w:r w:rsidR="00000000" w:rsidRPr="00000000" w:rsidDel="00000000">
        <w:rPr>
          <w:rtl w:val="0"/>
        </w:rPr>
        <w:t xml:space="preserve">) 2024/2509 par finanšu noteikumiem, ko piemēro Savienības vispārējam budžetam (pārstrādāta redakcija), 61. pantu un publisko iepirkumu regulējošiem normatīvajiem aktiem;".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24.5.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"24.5. nodrošina, ka šajos noteikumos paredzētās atbalstāmās darbības un projektā sniegtais atbalsts šo noteikumu 3. punktā minētajai mērķa grupai netiek finansēts, kā arī to nav plānots finansēt no citiem valsts, pašvaldības vai ārvalstu finanšu atbalsta instrumentiem, un nodrošina dubultā finansējuma neiestāšanos;".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Izteikt 24.6.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"24.6. nodrošina komunikācijas un vizuālās identitātes pasākumus saskaņā ar regulas 2021/1060 47. un 50. pantu un normatīvajiem aktiem par kārtību, kādā Eiropas Savienības fondu vadībā iesaistītās institūcijas nodrošina šo fondu ieviešanu 2021.–2027. gada plānošanas periodā, tai skaitā savā tīmekļvietnē un sociālajos tīklos ievieto informāciju par projektu īstenošanu un aktualizē to, tiklīdz pieejama jaunākā informācija;".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Svītrot 24.7. apakšpunktu.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prezidentes pienākumu izpildītāja ‒ tieslietu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Lībiņa-Egnere</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Labklājības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 Uzulnieks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25-TA-48</w:t>
    </w:r>
    <w:r>
      <w:br/>
    </w:r>
    <w:r w:rsidR="00000000" w:rsidRPr="00000000" w:rsidDel="00000000">
      <w:rPr>
        <w:rtl w:val="0"/>
      </w:rPr>
      <w:t xml:space="preserve">Izdrukāts 30.07.2026. 00.03 - 1.0.VK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25-TA-48</w:t>
    </w:r>
    <w:r>
      <w:br/>
    </w:r>
    <w:r w:rsidR="00000000" w:rsidRPr="00000000" w:rsidDel="00000000">
      <w:rPr>
        <w:rtl w:val="0"/>
      </w:rPr>
      <w:t xml:space="preserve">Izdrukāts 30.07.2026. 00.03 - 1.0.VK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noteikumu_(grozījumu)_projekts_25-TA-48.docx</dc:title>
</cp:coreProperties>
</file>

<file path=docProps/custom.xml><?xml version="1.0" encoding="utf-8"?>
<Properties xmlns="http://schemas.openxmlformats.org/officeDocument/2006/custom-properties" xmlns:vt="http://schemas.openxmlformats.org/officeDocument/2006/docPropsVTypes"/>
</file>