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3.1.1. specifiskā atbalsta mērķa "Attīstīt ilgtspējīgu, pret klimatu izturīgu, inteliģentu, drošu un vairākveidu TEN-T infrastruktūru" 3.1.1.5. pasākumu "Nacionālās nozīmes centru maģistrālo ielu un esošo maršrutu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vai vispārējā tīkla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finansējuma saņēmējs ir nacionālas nozīmes attīstības centra – Jelgavas, Jēkabpils, Jūrmalas, Liepājas un Ventspils – pašvaldība vai tās izveidota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kopējais plānotais finansējums ir ne vairāk kā 18 933 112 </w:t>
      </w:r>
      <w:r w:rsidR="00000000" w:rsidRPr="00000000" w:rsidDel="00000000">
        <w:rPr>
          <w:i w:val="1"/>
          <w:rtl w:val="0"/>
        </w:rPr>
        <w:t xml:space="preserve">euro</w:t>
      </w:r>
      <w:r w:rsidR="00000000" w:rsidRPr="00000000" w:rsidDel="00000000">
        <w:rPr>
          <w:rtl w:val="0"/>
        </w:rPr>
        <w:t xml:space="preserve">, tai skaitā Kohēzijas fonda finansējums 16 093 145 </w:t>
      </w:r>
      <w:r w:rsidR="00000000" w:rsidRPr="00000000" w:rsidDel="00000000">
        <w:rPr>
          <w:i w:val="1"/>
          <w:rtl w:val="0"/>
        </w:rPr>
        <w:t xml:space="preserve">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projekta īstenošanā, ja nepieciešams,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saņēmējiem pasākuma ietvaros pieejamais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Jelgavai – 5 888 812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Jūrmalai – 1 574 212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Jēkabpilij – 7 063 716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Liepājai – 375 712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Ventspilij – 1 190 692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iznākuma rādītāju – jaunu vai modernizētu autoceļu garums – TEN-T – 6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rādītājs ir sasniegti, kad tiek pabeigti projektā paredzētie būvdarbi, kas tiek pamatoti ar iesniegtiem būvdarbu pabeigšanu pamatojošiem dokumentiem, un objekti ir nodoti ekspluatācijā saskaņā ar būvniecības jomu reglamentējošajos normatīvajos aktos noteikto kārtību,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ir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pašvaldība vai tās izveidota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 TEN-T pamattīkla vai vispārējā tīkla maršrutos ietilpstošu nacionālo nozīmes centru maģistrālo ielu un esošo maršrutu attīstība, kas nodrošina atsevišķu pilsētu daļu efektīvu savstarpējo sasaisti un sasaisti ar TEN-T tīklu, alternatīvu kravas ceļu izbūve, pārbūve vai modernizācija.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izmaksu un ieguvumu analīzes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bet ne vairāk kā 10 procenti no projekta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pārvada, gājēju un velosipēdistu tilta, tuneļa, rampas (turpmāk – transportbūves)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apbraucamo ielu būvniecības, nojaukšanas un uzturēšanas izmaksas transportbūvju un ielu būvniecības laikā ne vairāk kā 10 procentu apmērā no būvdarbu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transportbūvei vai ceļa kompleksam piegulošā inženiertīkla pārbūves izmaksas ne vairāk kā 10 procentu apmērā no projekta attiecināmo izmaksu kopsummas.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esošo ielu modernizēšanas un pārbūves izmaksas, kā arī krustojumu, apgaismojuma līniju, pieturvietu, lietus ūdens savākšanas un attīrīšanas iekārtu izbūves izmaksas, ja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sabiedriskā transporta pieturvietu vides piekļūstamības uzlabošanu saistītās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velosipēdu un gājēju ceļiem saistītās izmaksas, ne vairāk kā 10 procentu apmērā no būvdarbu attiecināmo izmaksu kopsummas ar nosacījumu, ka minētajām darbībām nav nepieciešama zemes iegāde un tās nedalāmi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labiekārtošanas izmaksas, tai skaitā autobusu pieturvietu, apgaismojuma līniju izbūve, apzaļumošana, lietusūdens savākšanas un attīrīšanas iekārtu izbūve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transportbūves un ielu posma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būvdarbu uzraudzības un autoruzraudzības izmaksas un attiecīgo būvspeciālistu normatīvajos aktos noteiktās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būvdarbu līgumcenu indeksācijas izmaksas atbilstoši normatīvajiem aktiem par publisko būvdarbu līgumos obligāti ietveramajiem noteikumiem un to saturu;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informācijas un publicitātes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19.14.</w:t>
      </w:r>
      <w:r w:rsidR="00000000" w:rsidRPr="00000000" w:rsidDel="00000000">
        <w:rPr>
          <w:rtl w:val="0"/>
        </w:rPr>
        <w:t xml:space="preserve">, </w:t>
      </w:r>
      <w:r w:rsidR="00000000" w:rsidRPr="00000000" w:rsidDel="00000000">
        <w:rPr>
          <w:rtl w:val="0"/>
        </w:rPr>
        <w:t xml:space="preserve">19.15.</w:t>
      </w:r>
      <w:r w:rsidR="00000000" w:rsidRPr="00000000" w:rsidDel="00000000">
        <w:rPr>
          <w:rtl w:val="0"/>
        </w:rPr>
        <w:t xml:space="preserve"> un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minētās izmaksas kopā nepārsniedz 10 % no projekta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izmaksas kopā nepārsniedz 10 %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tai skaitā izmaksas, kas pārsniedz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izmaksas ir attiecināmas no 2022. gada 25. novembra,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19.15.</w:t>
      </w:r>
      <w:r w:rsidR="00000000" w:rsidRPr="00000000" w:rsidDel="00000000">
        <w:rPr>
          <w:rtl w:val="0"/>
        </w:rPr>
        <w:t xml:space="preserve"> un </w:t>
      </w:r>
      <w:r w:rsidR="00000000" w:rsidRPr="00000000" w:rsidDel="00000000">
        <w:rPr>
          <w:rtl w:val="0"/>
        </w:rPr>
        <w:t xml:space="preserve">19.16.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ietvaros pārbūvējamo vai modernizējamo ielu posmi valstspilsētā ietilpst TEN-T pamattīkla vai vispārējā tīkla maršrutos;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ietvaros  pārbūvējamā vai izbūvējamā transporta infrastruktūra atbilst pašvaldības teritorijas plānojumam, kā arī pašvaldības apstiprinātajai Attīstības programmai un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uzkrāj datus par projekta ietekmi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laika ietaupījumu (dienas gadā) no uzlabotas transporta infrastruktūras;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skaits, kuros Kohēzijas fonda ieguldījumu rezultātā ir nodrošināta vides un informācijas pieejamība – un citiem horizontālo principu rādītājiem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izpilda attiecināmās prasības un nodrošina, ka projekts atbilst principam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iznākuma rādītāja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sasniegto rezultātu ilgtspēju vismaz 5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periodisku nodilušo konstrukciju atjaunošanu;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vienošanās noslēgšanas par projekta īstenošanu. Finansējuma saņēmējs avansa pieprasījumu sagatavo un sadarbības iestāde apstiprina, ievērojot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īstenošanas teritorija ir nacionālās nozīmes attīstības centri – Jelgava, Jēkabpils, Jūrmala, Liepāja un Ventspils.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24-TA-3274</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24-TA-3274</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noteikumu_projekts_24-TA-3274.docx</dc:title>
</cp:coreProperties>
</file>

<file path=docProps/custom.xml><?xml version="1.0" encoding="utf-8"?>
<Properties xmlns="http://schemas.openxmlformats.org/officeDocument/2006/custom-properties" xmlns:vt="http://schemas.openxmlformats.org/officeDocument/2006/docPropsVTypes"/>
</file>