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Sankciju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Starptautisko un Latvijas Republikas</w:t>
      </w:r>
      <w:r>
        <w:br/>
      </w:r>
      <w:r w:rsidR="00000000" w:rsidRPr="00000000" w:rsidDel="00000000">
        <w:rPr>
          <w:rStyle w:val="paragraph"/>
          <w:i w:val="1"/>
          <w:rtl w:val="0"/>
        </w:rPr>
        <w:t xml:space="preserve">nacionālo sankciju likuma</w:t>
      </w:r>
      <w:r w:rsidR="00000000" w:rsidRPr="00000000" w:rsidDel="00000000">
        <w:rPr>
          <w:rStyle w:val="paragraph"/>
          <w:i w:val="1"/>
          <w:rtl w:val="0"/>
        </w:rPr>
        <w:t xml:space="preserve"> 16.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Sankciju koordinācijas padome</w:t>
      </w:r>
      <w:r w:rsidR="00000000" w:rsidRPr="00000000" w:rsidDel="00000000">
        <w:rPr>
          <w:b w:val="1"/>
          <w:rtl w:val="0"/>
        </w:rPr>
        <w:t xml:space="preserve"> </w:t>
      </w:r>
      <w:r w:rsidR="00000000" w:rsidRPr="00000000" w:rsidDel="00000000">
        <w:rPr>
          <w:rtl w:val="0"/>
        </w:rPr>
        <w:t xml:space="preserve">(turpmāk – padome) ir Ministru kabineta izveidota konsultatīva institūcija, kuras mērķis ir koordinēt to kompetento institūciju darbību, kuras ir atbildīgas par starptautisko vai nacionālo sankciju izpildi, tās uzraudzību vai kontroli (turpmāk – kompetentā institūcija), un veicināt vienotu pieeju normatīvo aktu piemērošanā starptautisko un Latvijas Republikas nacionālo sankciju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īstenojot Starptautisko un Latvijas Republikas nacionālo sankciju likuma 16. panta pirmajā daļā noteiktās funkcijas,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starptautisko prasību un normatīvo aktu vienveidīgu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normatīvo aktu atbilstību starptautiskajām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un apkopot informatīvos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atzinumus par kompetento institūciju un citu personu izstrādātajām vadlīnijām un informatīvajiem materiāliem, lai veicinātu to savstarpējo atbilstību.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uz padomes sēdēm ekspertus un personas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padomes sēdes darba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darba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apkopot informāciju un veidot statistiku;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izstrādāt priekšlikumus sankciju piemērošanas jautājumos.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priekšsēdētājs ir Ārlietu ministrijas pārstāvis.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izlūkošanas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Patērētāju tiesību aizsardzības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Pilsonības un migrācijas lietu pārvaldes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Zvērinātu notāru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Zvērinātu advokātu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Zvērinātu revidentu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Izložu un azartspēļu uzraudzības inspekcijas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Nacionālā kultūras mantojuma pārvaldes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Bankas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drošības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Tiesu administrācijas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Uzņēmumu reģistra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Patentu 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akciju sabiedrības "Ceļu satiksmes drošības direkcija"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akciju sabiedrības "Latvijas Jūras administrācija"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tehniskās uzraudzības aģentūras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Lauksaimniecības datu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aģentūras "Civilās aviācijas aģentūra"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Nacionālo elektronisko plašsaziņas līdzekļu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kases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Padomē ar padomdevēja tiesībām piedalās: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nozares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Tirdzniecības un rūpniecības kameras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Apdrošinātāju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Satversmes aizsardzības biroja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robežsardzes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personālsastāvu apstiprina ārlietu ministrs, pamatojoties uz šo noteikumu 6. un 7. punktā minēto iestāžu, biedrību un nodibinājumu deleģējumu. Pilnvarotā pārstāvja prombūtnes laikā attiecīgā iestāde, biedrība vai nodibinājums pilnvaro citu pārstāvi piedalīties padomes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locekļi atlīdzību par darbu padomē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norise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loceklis vienpersoniski vai saskaņā ar padomdevēja priekšlikumu ir tiesīgs ierosināt iekļaut jautājumu padomes sēdes darba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sasauc padomes sēdi un ierosina sēdes darba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organizē ne retāk kā četras reizes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ir atklātas. Padomes priekšsēdētājs ir tiesīgs sasaukt slēgtu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lēmumus pieņem ar balsu vairākumu. Katram padomes loceklim ir viena balss.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vai pārstāvis ar padomdevēja tiesībām nepiekrīt pieņemtajam lēmumam, viņam ir tiesības savu viedokli noformēt rakstveidā un pievienot sēdes protokolam.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 par savu darbību pastāvīgi informē sabiedrību un ne retāk kā reizi gadā ar Ārlietu ministrijas starpniecību informē Ministru kabinetu.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sekretariāta funkcijas veic Ārlietu ministrija.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22-TA-3493</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22-TA-3493</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noteikumu_konsolidētā_versija_22-TA-3493.docx</dc:title>
</cp:coreProperties>
</file>

<file path=docProps/custom.xml><?xml version="1.0" encoding="utf-8"?>
<Properties xmlns="http://schemas.openxmlformats.org/officeDocument/2006/custom-properties" xmlns:vt="http://schemas.openxmlformats.org/officeDocument/2006/docPropsVTypes"/>
</file>