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r>
        <w:br/>
      </w:r>
      <w:r w:rsidR="00000000" w:rsidRPr="00000000" w:rsidDel="00000000">
        <w:rPr>
          <w:rStyle w:val="paragraph"/>
          <w:i w:val="1"/>
          <w:rtl w:val="0"/>
        </w:rPr>
        <w:t xml:space="preserve">Eiropas Savienības struktūrfondu un Kohēzijas fonda 2014.–2020. gada plānošanas perioda vadības likuma 20. panta</w:t>
      </w:r>
      <w:r w:rsidR="00000000" w:rsidRPr="00000000" w:rsidDel="00000000">
        <w:rPr>
          <w:rStyle w:val="paragraph"/>
          <w:i w:val="1"/>
          <w:rtl w:val="0"/>
        </w:rPr>
        <w:t xml:space="preserve"> 14. punktu un </w:t>
      </w:r>
      <w:r>
        <w:br/>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16. jūnija noteikumos Nr. 383 "Noteikumi par garantijām saimnieciskās darbības veicējiem konkurētspējas uzlabošanai" (Latvijas Vēstnesis, 2020, 119., 248. nr.; 2022, 121. nr.; 2023, 49., 173. nr.; 2024, 110.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Eiropas Savienības kohēzijas politikas programmas 2021.–2027. gadam 1.2.3. specifiskā atbalsta mērķa "Veicināt ilgtspējīgu izaugsmi, konkurētspēju un darba vietu radīšanu MVU, tostarp ar produktīvām investīcijām" 1.2.3.4. pasākumu "Garantijas, portfeļgarantijas pilna cikla uzņēmējdarbībai" (turpmāk – 1.2.3.4. pasākums) tiešo finanšu instrumentu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Mazajiem vidējās kapitalizācijas un vidējās kapitalizācijas saimnieciskās darbības veicējiem ir pieejama garantija tikai 1.2.3.4.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Garantiju izsniegšanas kārtību, kompensāciju izmaksas un zaudējumu samazināšanas pasākumus nosaka saskaņā ar civiltiesiskajiem līgumiem, kas noslēgti starp sabiedrību "Altum" un kredītiestādi vai tās meitas sabiedrību, kas ir reģistrēta Eiropas Savienības vai Eiropas Ekonomikas zonas valstī, vai alternatīvā finansējuma pakalpojuma sniedzēju, tai skaitā, finanšu tehnoloģijās balstītu finanšu pakalpojumu sniedzēju, kurš reģistrēts Latvijā, un ir tiesīgs sniegt finanšu pakalpojumus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līgums tiek slēgts ar alternatīvā finanšu pakalpojumu sniedzēju, tam jāatbilst vismaz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tas ir noziedzīgi iegūtu līdzekļu legalizācijas un terorisma un proliferācijas finansēšanas novēršanas likuma subjekts, izņemot licencētu kolektīvās finansēšanas pakalpojumu sniedzēju gadījumā, kad noziedzīgi iegūtu līdzekļu legalizācijas un terorisma un proliferācijas finansēšanas novēršanas jomas prasības tiek noteiktas civiltiesiskajos līgumos, kas noslēgti starp sabiedrību "Altum" un finansētāju;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tas sniedz finanšu pakalpojumus attiecīgajā jomā ne mazāk kā trīs gadus, tai skaitā grupas ietvaros, ja mātes uzņēmumi darbojas tajā pašā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1.2.3.4. pasākumam – finansējums, ko sabiedrība "Altum" izsniedz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no sabiedrībi “Altum” atmaksātā publiskā finansējuma, ja bruto subsīdijas ekvivalents darījumiem tiek aprēķināts saskaņā ar Komisijas regulas Nr. 2023/2831 4. panta 6. punkta "c" apakšpunktu un  pārsniedz 10 000 000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banku garantijas (tai skaitā konkursa, avansa maksājuma, maksājuma izpildes vai laika garantijas), banku garantiju limiti, kredītvēstule."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Garantijas par šo noteikumu 8.4. apakšpunktā minēto finanšu pakalpojumu netiek sniegtas 1.2.3.4.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ja bruto subsīdijas ekvivalents tiek aprēķināts saskaņā ar Komisijas regulas Nr. 2023/2831 4. panta 6. punkta "c" apakšpunktu,  – 25 000 000 </w:t>
      </w:r>
      <w:r w:rsidR="00000000" w:rsidRPr="00000000" w:rsidDel="00000000">
        <w:rPr>
          <w:i w:val="1"/>
          <w:rtl w:val="0"/>
        </w:rPr>
        <w:t xml:space="preserve">euro</w:t>
      </w:r>
      <w:r w:rsidR="00000000" w:rsidRPr="00000000" w:rsidDel="00000000">
        <w:rPr>
          <w:rtl w:val="0"/>
        </w:rPr>
        <w:t xml:space="preserve">, ja garantijas sākotnējais termiņš nepārsniedz 10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Lielajam saimnieciskās darbības veicējam  un šo noteikumu 4.</w:t>
      </w:r>
      <w:r w:rsidR="00000000" w:rsidRPr="00000000" w:rsidDel="00000000">
        <w:rPr>
          <w:vertAlign w:val="superscript"/>
          <w:rtl w:val="0"/>
        </w:rPr>
        <w:t xml:space="preserve">1</w:t>
      </w:r>
      <w:r w:rsidR="00000000" w:rsidRPr="00000000" w:rsidDel="00000000">
        <w:rPr>
          <w:rtl w:val="0"/>
        </w:rPr>
        <w:t xml:space="preserve"> punktā minētajiem saimniecības darbības veicējiem piemēro šo noteikumu 12.2.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ieroču un munīcijas tirdzniecībai (Saimniecisko darbību statistiskās klasifikācijas Eiropas Kopienā 2.1. redakcijas (turpmāk – NACE 2.1. red.) klase 47.63  "Sporta aprīkojuma mazumtirdzniecība"47.92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tabakas izstrādājumu ražošanai un tirdzniecībai (NACE 2.1. red. 12. nodaļa "Tabakas izstrādājumu ražošana", klase 46.35 "Tabakas izstrādājumu vairumtirdzniecība" un klase 47.26 "Tabakas izstrādājumu mazumtirdzniecība" un klase 47.92 "Specializetas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alkohola tirdzniecībai (NACE 2.1. red. klase 46.34 "Dzērienu vairumtirdzniecība" un klase 47.25 "Dzērienu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azartspēlēm un derībām (NACE 2.1.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finanšu un apdrošināšanas darbībai (NACE 2.1 redakcijas L sadaļa "Finanšu un apdrošināšanas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operācijām ar nekustamo īpašumu (NACE 2.1 redakcijas M sadaļas "Operācijas ar nekustamo īpašumu" grupa 68.1 "Sava nekustama īpašuma pirkšana un pārdošana" un klase 68.31 "Starpniecība darbībā ar nekustamo īpašumu") un klase 68.32 "Citas operācijas ar nekustamo īpašumu uz līguma pamata vai par atlīdzību");, izņemot ja saimnieciskās darbības veicējs nekustamo īpašumu (būvi), kura galvenais lietošanas veids atbilstoši normatīvajam regulējumam par būvju klasifikāciju ir triju vai vairāku dzīvokļu māja, būvē, atjauno vai pārbūvē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16.10.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"16.10. kapitālsabiedrību kapitāla daļu iegādei, ja šīs darbības tiek finansētās 1.2.3.4.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Papildus šo noteikumu 16. punkta nosacījumiem 1.2.3.4. pasākuma ietvaros garantiju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nozarēs, kas noteiktas Eiropas Parlamenta un Padomes 2021. gada 24. jūnija Regulas (ES) Nr. 2021/1058 par Eiropas Reģionālās attīstības fondu un Kohēzijas fondu 7. panta 1.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zemes iegādei, ja summa pārsniedz 10 % no garantētās finanšu pakalpojuma summas vai attiecībā uz pamestām teritorijām un bijušajām rūpniecības teritorijām, kurās ir ēkas, līdz 15 % no garantētās finanšu pakalpojuma summas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"b"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Eiropas Savienības fondu projektu līdzfinansēšanai, kā arī priekšfinansēšanai saskaņā ar regulas Nr.  2021/1060 58. panta 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darbībām, kuras uzskatāmas par faktiski pabeigtām vai pilnībā īstenotām, pirms ir iesniegts pieteikums atbalsta programmas finansējuma saņemšanai, ievērojot regulas Nr.  2021/1060 63. panta 6.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 esošu vai jaunu saistību dzēšanai, tai skaitā parāda procentiem saskaņā ar regulas Nr.  2021/1060 64. panta 1. punkta "a"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Saimnieciskās darbības veicējiem, kuru darbības nozare ir NACE 2.1. redakcijas grupa "Ceļojumu biroju, tūrisma operatoru un citi rezervēšanas pakalpojumi un ar tiem saistītas darbības", garantijas prēmiju, kas aprēķināta saskaņā ar šo noteikumu 19. punktu un paredzēta šo noteikumu 8.5. apakšpunktā minēto finanšu pakalpojumu garantēšanai, var samazināt, bet ne vairāk kā 90 %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31.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1.2.3.4. pasākuma ietvaros sabiedrības "Altum" pārvaldības izmaksas nosaka atbilstoši normatīvajam aktam,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Garantijas  1.2.3.4. pasākumam piešķir, kad finansējums 3.1.1.1. un 13.1.1.1. pasākumam komersantiem ir piešķirts pilnā apmērā vai jaunas garantijas nevar piešķirt atbilstoši 3.1.1.1. un 13.1.1.1. pasākuma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25-TA-400</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25-TA-400</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noteikumu_(grozījumu)_projekts_25-TA-400.docx</dc:title>
</cp:coreProperties>
</file>

<file path=docProps/custom.xml><?xml version="1.0" encoding="utf-8"?>
<Properties xmlns="http://schemas.openxmlformats.org/officeDocument/2006/custom-properties" xmlns:vt="http://schemas.openxmlformats.org/officeDocument/2006/docPropsVTypes"/>
</file>