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 19. panta</w:t>
      </w:r>
      <w:r w:rsidR="00000000" w:rsidRPr="00000000" w:rsidDel="00000000">
        <w:rPr>
          <w:rStyle w:val="paragraph"/>
          <w:i w:val="1"/>
          <w:rtl w:val="0"/>
        </w:rPr>
        <w:t xml:space="preserve">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1.2.1. specifiskā atbalsta mērķa "Pētniecības un inovāciju kapacitātes stiprināšana un progresīvu tehnoloģiju ieviešana uzņēmumiem" 1.2.1.3. pasākumu "Uzņēmuma atbalsts dalībai kapitāla tirgos"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atbalstu komercdarbībai saistītos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komersanti – Latvijas Republikas komercreģistrā reģistrētas kapitālsabiedrības, kas atbilst mazā un vidējā komersanta statusam saskaņā ar Eiropas Komisijas 2014. gada 17. jūnija Regulas (ES) Nr. 651/2014, ar ko noteiktas atbalsta kategorijas atzīst par saderīgām ar iekšējo tirgu, piemērojot Līguma 107. un 108. pantu (turpmāk – Komisijas regula Nr. </w:t>
      </w:r>
      <w:r w:rsidR="00000000" w:rsidRPr="00000000" w:rsidDel="00000000">
        <w:rPr>
          <w:rtl w:val="0"/>
        </w:rPr>
        <w:t xml:space="preserve">651/2014</w:t>
      </w:r>
      <w:r w:rsidR="00000000" w:rsidRPr="00000000" w:rsidDel="00000000">
        <w:rPr>
          <w:rtl w:val="0"/>
        </w:rPr>
        <w:t xml:space="preserve">), I pielikuma 2. panta 1. punktu, vai mazās vidējas kapitalizācijas sabiedrības, kas atbilst Eiropas Parlamenta un Padomes 2015. gada 25. jūnija Regulas (ES) </w:t>
      </w:r>
      <w:r w:rsidR="00000000" w:rsidRPr="00000000" w:rsidDel="00000000">
        <w:rPr>
          <w:rtl w:val="0"/>
        </w:rPr>
        <w:t xml:space="preserve">2015/1017</w:t>
      </w:r>
      <w:r w:rsidR="00000000" w:rsidRPr="00000000" w:rsidDel="00000000">
        <w:rPr>
          <w:rtl w:val="0"/>
        </w:rPr>
        <w:t xml:space="preserve"> par Eiropas Stratēģisko investīciju fondu, Eiropas Investīciju konsultāciju centru un Eiropas Investīciju projektu portālu, ar ko groza Regulas (ES) Nr. 1291/2013 un (ES) Nr. 1316/2013 – Eiropas Stratēģisko investīciju fonds, 2. panta 6.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tirdzniecības vieta – regulētais vai alternatīvais finanšu instrumentu tirgus, kura organizētājs un ar finanšu instrumentu publisko apgrozību saistīto pakalpojumu sniedzējs ir kapitālsabiedrība, kas darbojas atbilstoši </w:t>
      </w:r>
      <w:r w:rsidR="00000000" w:rsidRPr="00000000" w:rsidDel="00000000">
        <w:rPr>
          <w:rtl w:val="0"/>
        </w:rPr>
        <w:t xml:space="preserve">Finanšu instrumentu tirgus likumam</w:t>
      </w:r>
      <w:r w:rsidR="00000000" w:rsidRPr="00000000" w:rsidDel="00000000">
        <w:rPr>
          <w:rtl w:val="0"/>
        </w:rPr>
        <w:t xml:space="preserve"> un saskaņā ar Latvijas Bankas izsniegtu licenci;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saņēmējs – komersanti, kas saņem finansējumu pēc projekta iesnieguma iesniegšanas un apstiprināšanas sadarbības iestādē.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veicināt komersantu attīstībai nepieciešamā finansējuma piesaisti kapitāla tirgos, tādējādi paaugstinot komersantu starptautisko konkurētspēju, kā arī sekmējot investīcijas dzīvotspējīgos un inovatīvos uzņēmumos, ļaujot tiem straujāk augt un attīstīties.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mērķa grupa ir komersanti, kuru darbība ir vērsta uz tehnoloģisko attīstību un izaugsmi, kā arī uz investīciju veikšanu pētniecībā, attīstībā un inovācijās.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Pasākumam plānotais kopējais finansējums ir 1 973 896 </w:t>
      </w:r>
      <w:r w:rsidR="00000000" w:rsidRPr="00000000" w:rsidDel="00000000">
        <w:rPr>
          <w:i w:val="1"/>
          <w:rtl w:val="0"/>
        </w:rPr>
        <w:t xml:space="preserve">euro </w:t>
      </w:r>
      <w:r w:rsidR="00000000" w:rsidRPr="00000000" w:rsidDel="00000000">
        <w:rPr>
          <w:rtl w:val="0"/>
        </w:rPr>
        <w:t xml:space="preserve">(tostarp elastības finansējums 311 334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1 677 811 </w:t>
      </w:r>
      <w:r w:rsidR="00000000" w:rsidRPr="00000000" w:rsidDel="00000000">
        <w:rPr>
          <w:i w:val="1"/>
          <w:rtl w:val="0"/>
        </w:rPr>
        <w:t xml:space="preserve">euro </w:t>
      </w:r>
      <w:r w:rsidR="00000000" w:rsidRPr="00000000" w:rsidDel="00000000">
        <w:rPr>
          <w:rtl w:val="0"/>
        </w:rPr>
        <w:t xml:space="preserve">(tostarp elastības finansējums 264 634 </w:t>
      </w:r>
      <w:r w:rsidR="00000000" w:rsidRPr="00000000" w:rsidDel="00000000">
        <w:rPr>
          <w:i w:val="1"/>
          <w:rtl w:val="0"/>
        </w:rPr>
        <w:t xml:space="preserve">euro</w:t>
      </w:r>
      <w:r w:rsidR="00000000" w:rsidRPr="00000000" w:rsidDel="00000000">
        <w:rPr>
          <w:rtl w:val="0"/>
        </w:rPr>
        <w:t xml:space="preserve">) un valsts budžeta finansējums 296 085 </w:t>
      </w:r>
      <w:r w:rsidR="00000000" w:rsidRPr="00000000" w:rsidDel="00000000">
        <w:rPr>
          <w:i w:val="1"/>
          <w:rtl w:val="0"/>
        </w:rPr>
        <w:t xml:space="preserve">euro </w:t>
      </w:r>
      <w:r w:rsidR="00000000" w:rsidRPr="00000000" w:rsidDel="00000000">
        <w:rPr>
          <w:rtl w:val="0"/>
        </w:rPr>
        <w:t xml:space="preserve">(tostarp elastības finansējums 46 700 </w:t>
      </w:r>
      <w:r w:rsidR="00000000" w:rsidRPr="00000000" w:rsidDel="00000000">
        <w:rPr>
          <w:i w:val="1"/>
          <w:rtl w:val="0"/>
        </w:rPr>
        <w:t xml:space="preserve">euro</w:t>
      </w:r>
      <w:r w:rsidR="00000000" w:rsidRPr="00000000" w:rsidDel="00000000">
        <w:rPr>
          <w:rtl w:val="0"/>
        </w:rPr>
        <w:t xml:space="preserve">). Maksimālais ERAF finansējuma apmērs nepārsniedz 85 %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Projektu iesniegumos pasākuma īstenošanai pieejamo kopējo attiecināmo finansējumu plāno ne vairāk kā 1 662 562 </w:t>
      </w:r>
      <w:r w:rsidR="00000000" w:rsidRPr="00000000" w:rsidDel="00000000">
        <w:rPr>
          <w:i w:val="1"/>
          <w:rtl w:val="0"/>
        </w:rPr>
        <w:t xml:space="preserve">euro </w:t>
      </w:r>
      <w:r w:rsidR="00000000" w:rsidRPr="00000000" w:rsidDel="00000000">
        <w:rPr>
          <w:rtl w:val="0"/>
        </w:rPr>
        <w:t xml:space="preserve">apmērā, tai skaitā ERAF finansējumu – 1 413 177 </w:t>
      </w:r>
      <w:r w:rsidR="00000000" w:rsidRPr="00000000" w:rsidDel="00000000">
        <w:rPr>
          <w:i w:val="1"/>
          <w:rtl w:val="0"/>
        </w:rPr>
        <w:t xml:space="preserve">euro</w:t>
      </w:r>
      <w:r w:rsidR="00000000" w:rsidRPr="00000000" w:rsidDel="00000000">
        <w:rPr>
          <w:rtl w:val="0"/>
        </w:rPr>
        <w:t xml:space="preserve"> apmērā un valsts budžeta finansējumu – 249 385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palielināt pasākumam pieejamo kopējo attiecināmo finansējumu līdz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minētajam plānotajam kopējam attiecināmajam finansējumam.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līdz 2029. gada 31. decembrim sasniedzami šādi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atbalstītie uzņēmumi (tai skaitā mikrouzņēmumi, mazi, vidēji un lieli uzņēmumi) – 10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grantiem atbalstītie uzņēmumi – 10 komersanti;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publisko atbalstu papildinošās privātās investīcijas – 2 000 000 </w:t>
      </w:r>
      <w:r w:rsidR="00000000" w:rsidRPr="00000000" w:rsidDel="00000000">
        <w:rPr>
          <w:i w:val="1"/>
          <w:rtl w:val="0"/>
        </w:rPr>
        <w:t xml:space="preserve">euro</w:t>
      </w:r>
      <w:r w:rsidR="00000000" w:rsidRPr="00000000" w:rsidDel="00000000">
        <w:rPr>
          <w:rtl w:val="0"/>
        </w:rPr>
        <w:t xml:space="preserve"> vai 1 662 562 </w:t>
      </w:r>
      <w:r w:rsidR="00000000" w:rsidRPr="00000000" w:rsidDel="00000000">
        <w:rPr>
          <w:i w:val="1"/>
          <w:rtl w:val="0"/>
        </w:rPr>
        <w:t xml:space="preserve">euro</w:t>
      </w:r>
      <w:r w:rsidR="00000000" w:rsidRPr="00000000" w:rsidDel="00000000">
        <w:rPr>
          <w:rtl w:val="0"/>
        </w:rPr>
        <w:t xml:space="preserve">, ja netiek piešķirts elastības finansējums 15 %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Atbildīgās iestādes funkcijas pasākuma ietvaros pilda Ekonomikas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Pasākumu īsteno atklātas projektu iesniegumu atlases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iesniegumu iesniegšanu izsludina vienu reizi par visu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minēto 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komersants projekta iesniegumu var iesniegt atlases nolikumā noteiktajā kārtībā līdz šo noteikumu </w:t>
      </w:r>
      <w:r w:rsidR="00000000" w:rsidRPr="00000000" w:rsidDel="00000000">
        <w:rPr>
          <w:rtl w:val="0"/>
        </w:rPr>
        <w:t xml:space="preserve">38.</w:t>
      </w:r>
      <w:r w:rsidR="00000000" w:rsidRPr="00000000" w:rsidDel="00000000">
        <w:rPr>
          <w:rtl w:val="0"/>
        </w:rPr>
        <w:t xml:space="preserve"> punktā</w:t>
      </w:r>
      <w:r w:rsidR="00000000" w:rsidRPr="00000000" w:rsidDel="00000000">
        <w:rPr>
          <w:rtl w:val="0"/>
        </w:rPr>
        <w:t xml:space="preserve"> minētajam termiņam, bet ne vēlāk kā līdz 2026.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iesnieguma vērtēšana var tikt uzsākta uzreiz pēc tā saņemšanas, un lēmumi par projektu iesniegumu apstiprināšanu, apstiprināšanu ar nosacījumu vai noraidīšanu tiek pieņemti projektu iesniegumu iesniegšanas secībā.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īstenošanas vieta –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Finansējuma saņēmējs projektu īstenošanu plāno ne ilgāk kā līdz 2029. gada 31. decembrim saskaņā ar civiltiesisko līgumu par projekta īstenošanu (turpmāk – civiltiesiskais līgums), kas noslēgts starp finansējuma saņēmēju un Centrālo finanšu un līgumu aģentūru (turpmāk – sadarbības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Atbalsts pasākuma ietvaros tiek sniegts granta veidā saskaņā ar Eiropas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(turpmāk – Komisijas regula Nr. </w:t>
      </w:r>
      <w:r w:rsidR="00000000" w:rsidRPr="00000000" w:rsidDel="00000000">
        <w:rPr>
          <w:rtl w:val="0"/>
        </w:rPr>
        <w:t xml:space="preserve">2023/2831</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nodrošina šādu Viedās specializācijas stratēģijas (RIS3) datu uzkrāšanu un ievadi Kohēzijas politikas fondu vadības informācijas sistēmā pa RIS3 jomu veidiem: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neto apgrozījums (</w:t>
      </w:r>
      <w:r w:rsidR="00000000" w:rsidRPr="00000000" w:rsidDel="00000000">
        <w:rPr>
          <w:i w:val="1"/>
          <w:rtl w:val="0"/>
        </w:rPr>
        <w:t xml:space="preserve">euro</w:t>
      </w:r>
      <w:r w:rsidR="00000000" w:rsidRPr="00000000" w:rsidDel="00000000">
        <w:rPr>
          <w:rtl w:val="0"/>
        </w:rPr>
        <w:t xml:space="preserve">) no projekta rezultāta ieviešanas saimnieciskajā darbībā vai komercializēšanas;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komersanta eksports (</w:t>
      </w:r>
      <w:r w:rsidR="00000000" w:rsidRPr="00000000" w:rsidDel="00000000">
        <w:rPr>
          <w:i w:val="1"/>
          <w:rtl w:val="0"/>
        </w:rPr>
        <w:t xml:space="preserve">euro</w:t>
      </w:r>
      <w:r w:rsidR="00000000" w:rsidRPr="00000000" w:rsidDel="00000000">
        <w:rPr>
          <w:rtl w:val="0"/>
        </w:rPr>
        <w:t xml:space="preserve">) no projekta rezultāta ieviešanas saimnieciskajā darbībā vai komercializēšanas.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minētos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 kopā ar noslēguma maksājuma pieprasījumu Kohēzijas politikas fondu vadības informācijas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noslēguma maksājuma pieprasījuma iesniegšanas vienu reizi gadā iesniedz atbildīgajai iestādei 10 darbdienu laikā pēc atbildīgās iestādes pieprasījuma saņemšanas.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ir komersants atbilstoši šo noteikumu </w:t>
      </w:r>
      <w:r w:rsidR="00000000" w:rsidRPr="00000000" w:rsidDel="00000000">
        <w:rPr>
          <w:rtl w:val="0"/>
        </w:rPr>
        <w:t xml:space="preserve">2.1.</w:t>
      </w:r>
      <w:r w:rsidR="00000000" w:rsidRPr="00000000" w:rsidDel="00000000">
        <w:rPr>
          <w:rtl w:val="0"/>
        </w:rPr>
        <w:t xml:space="preserve"> apakšpunktā</w:t>
      </w:r>
      <w:r w:rsidR="00000000" w:rsidRPr="00000000" w:rsidDel="00000000">
        <w:rPr>
          <w:rtl w:val="0"/>
        </w:rPr>
        <w:t xml:space="preserve"> un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minētajiem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kopā ar projekta iesniegumu iesniedz sadarbības iestādē arī informāciju par to, kā tas īsteno aktivitātes inovāciju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nevar pretendēt uz finansējumu, ja tas: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 </w:t>
      </w:r>
      <w:r w:rsidR="00000000" w:rsidRPr="00000000" w:rsidDel="00000000">
        <w:rPr>
          <w:rtl w:val="0"/>
        </w:rPr>
        <w:t xml:space="preserve">Eiropas Savienības fondu 2021.–2027. gada plānošanas perioda vadības likuma 22. pantā</w:t>
      </w:r>
      <w:r w:rsidR="00000000" w:rsidRPr="00000000" w:rsidDel="00000000">
        <w:rPr>
          <w:rtl w:val="0"/>
        </w:rPr>
        <w:t xml:space="preserve"> minētajiem projekta iesniedzēju izslēgšanas noteikumiem;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 nozarēm vai darbībām, kas noteiktas Komisijas regulas Nr. </w:t>
      </w:r>
      <w:r w:rsidR="00000000" w:rsidRPr="00000000" w:rsidDel="00000000">
        <w:rPr>
          <w:rtl w:val="0"/>
        </w:rPr>
        <w:t xml:space="preserve">2023/2831</w:t>
      </w:r>
      <w:r w:rsidR="00000000" w:rsidRPr="00000000" w:rsidDel="00000000">
        <w:rPr>
          <w:rtl w:val="0"/>
        </w:rPr>
        <w:t xml:space="preserve"> 1. panta 1. punktā;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 darbībām, kas noteiktas Eiropas Parlamenta un Padomes 2021. gada 24. jūnija Regulas </w:t>
      </w:r>
      <w:r w:rsidR="00000000" w:rsidRPr="00000000" w:rsidDel="00000000">
        <w:rPr>
          <w:rtl w:val="0"/>
        </w:rPr>
        <w:t xml:space="preserve">2021/1058</w:t>
      </w:r>
      <w:r w:rsidR="00000000" w:rsidRPr="00000000" w:rsidDel="00000000">
        <w:rPr>
          <w:rtl w:val="0"/>
        </w:rPr>
        <w:t xml:space="preserve"> par Eiropas Reģionālās attīstības fondu un Kohēzijas fondu 7. panta 1. punktā;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nodarbojas primārajā lauksaimniecības nozarē;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pēdējo 24 mēnešu laikā ir veicis kapitāla piesaisti, emitējot parāda vērtspapīrus par kopējo summu, kas pārsniedz 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brīdī, kad projekta iesniegums iesniegts sadarbības iestādē, tirdzniecības vietā nav emitējis visas spēkā esošās emisijas prospektā norādītās akcijas vai obligācijas;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saskaņā ar Valsts ieņēmumu dienesta administrēto nodokļu (nodevu) parādnieku datubāzē pieejamo informāciju ir nodokļu vai nodevu parādnieks, tai skaitā ja tam ir valsts sociālās apdrošināšanas obligāto iemaksu parādi,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w:t>
      </w:r>
      <w:r w:rsidR="00000000" w:rsidRPr="00000000" w:rsidDel="00000000">
        <w:rPr>
          <w:rtl w:val="0"/>
        </w:rPr>
        <w:t xml:space="preserve">likuma "Par nodokļiem un nodevām" 24. panta</w:t>
      </w:r>
      <w:r w:rsidR="00000000" w:rsidRPr="00000000" w:rsidDel="00000000">
        <w:rPr>
          <w:rtl w:val="0"/>
        </w:rPr>
        <w:t xml:space="preserve">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Atbalsts netiek piešķirts projekta iesniedzējam, kurš vienlaikus darbojas nozarē vai veic darbības, kas minētas šo noteikumu </w:t>
      </w:r>
      <w:r w:rsidR="00000000" w:rsidRPr="00000000" w:rsidDel="00000000">
        <w:rPr>
          <w:rtl w:val="0"/>
        </w:rPr>
        <w:t xml:space="preserve">17.2.</w:t>
      </w:r>
      <w:r w:rsidR="00000000" w:rsidRPr="00000000" w:rsidDel="00000000">
        <w:rPr>
          <w:rtl w:val="0"/>
        </w:rPr>
        <w:t xml:space="preserve"> apakšpunktā</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Atbalstāmo darbību un izmaksu attiecināmības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ietvaros ir atbalstāmas šādas finansējuma saņēmēja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akciju iekļaušana tirdzniecības vietā, ja tiek piesaistīti vismaz 500 000 </w:t>
      </w:r>
      <w:r w:rsidR="00000000" w:rsidRPr="00000000" w:rsidDel="00000000">
        <w:rPr>
          <w:i w:val="1"/>
          <w:rtl w:val="0"/>
        </w:rPr>
        <w:t xml:space="preserve">euro </w:t>
      </w:r>
      <w:r w:rsidR="00000000" w:rsidRPr="00000000" w:rsidDel="00000000">
        <w:rPr>
          <w:rtl w:val="0"/>
        </w:rPr>
        <w:t xml:space="preserve">un akciju iekļaušana tirdzniecības vietā notiek no civiltiesiskā līguma noslēgšanas brīža līdz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minētajam termiņam;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parāda vērtspapīru iekļaušana tirdzniecības vietā, ja tā notiek no civiltiesiskā līguma noslēgšanas brīža līdz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minētajam termiņam.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minēto darbību īstenošanu, vienā projekta iesniegumā ietverot vismaz vienu no šādām apakšaktivitātēm – sākotnējais publiskais piedāvājums, privātā izvietošana, otrreizējais publiskais piedāvājums, turpmākais publiskais piedāvājums vai akciju iekļaušana bez kapitāla piesaistes, bet ar plānu to piesaistīt triju gadu laikā pēc civiltiesiskā līguma noslēgšanas –, attiecināmas ir šādas izmaksas akciju vai parāda vērtspapīru iekļaušanai tirdzniecības vietā: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ārējo konsultantu sniegtās konsultācijas pakalpojumu izmaksas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minētajām finansējuma saņēmēja darbībām: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kapitāla piesaistīšanas, emisijas organizētāja pakalpojumu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prospekta (vai reģistrācijas dokumenta, parāda vērtspapīru apraksta un kopsavilkuma, ja prospekts sastāv no atsevišķiem dokumentiem), pamatprospekta un galīgo noteikumu saskaņā ar Eiropas Parlamenta un Padomes 2017. gada 14. jūnija Regulas (ES) </w:t>
      </w:r>
      <w:r w:rsidR="00000000" w:rsidRPr="00000000" w:rsidDel="00000000">
        <w:rPr>
          <w:rtl w:val="0"/>
        </w:rPr>
        <w:t xml:space="preserve">2017/1129</w:t>
      </w:r>
      <w:r w:rsidR="00000000" w:rsidRPr="00000000" w:rsidDel="00000000">
        <w:rPr>
          <w:rtl w:val="0"/>
        </w:rPr>
        <w:t xml:space="preserve"> par prospektu, kurš jāpublicē, publiski piedāvājot vērtspapīrus vai atļaujot to tirdzniecību regulētā tirgū, un ar ko atceļ Direktīvu 2003/71/EK, 6., 7., 8. un 10. pantu, piedāvājuma dokumenta vai uzņēmuma apraksta, vai emisijas noteikumu sagatavošanas, apstiprināšanas un publicēšanas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padziļinātā izpēte un ar to saistītās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tirdzniecības vietas sertificēta konsultanta piesaistes un pakalpojumu izmaksas līdz akciju un parāda vērtspapīru iekļaušanai tirdzniecības vietās;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citas finanšu, nodokļu, auditoru un sertificētu konsultantu konsultāciju izmaksas saistībā ar šo noteikumu </w:t>
      </w:r>
      <w:r w:rsidR="00000000" w:rsidRPr="00000000" w:rsidDel="00000000">
        <w:rPr>
          <w:rtl w:val="0"/>
        </w:rPr>
        <w:t xml:space="preserve">19.</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20.4.</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minētās izmaksas attiecināmas saskaņā ar atbalstu, kas sniegts atbilstoši Komisijas regulai Nr. </w:t>
      </w:r>
      <w:r w:rsidR="00000000" w:rsidRPr="00000000" w:rsidDel="00000000">
        <w:rPr>
          <w:rtl w:val="0"/>
        </w:rPr>
        <w:t xml:space="preserve">2023/2831</w:t>
      </w:r>
      <w:r w:rsidR="00000000" w:rsidRPr="00000000" w:rsidDel="00000000">
        <w:rPr>
          <w:rtl w:val="0"/>
        </w:rPr>
        <w:t xml:space="preserve">. Vienā projekta iesniegumā atbalstam var pieteikties vienā no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minētajiem atbalsta veidiem.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iesniegumā norādītās izmaksas, kas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nav norādītas kā attiecināmās izmaksas, un izmaksas, kas pārsniedz maksimāli pieļaujamo izmaksu apmēru saskaņā ar šo noteikumu </w:t>
      </w:r>
      <w:r w:rsidR="00000000" w:rsidRPr="00000000" w:rsidDel="00000000">
        <w:rPr>
          <w:rtl w:val="0"/>
        </w:rPr>
        <w:t xml:space="preserve">30.</w:t>
      </w:r>
      <w:r w:rsidR="00000000" w:rsidRPr="00000000" w:rsidDel="00000000">
        <w:rPr>
          <w:rtl w:val="0"/>
        </w:rPr>
        <w:t xml:space="preserve"> punktu</w:t>
      </w:r>
      <w:r w:rsidR="00000000" w:rsidRPr="00000000" w:rsidDel="00000000">
        <w:rPr>
          <w:rtl w:val="0"/>
        </w:rPr>
        <w:t xml:space="preserve">, finansējuma saņēmējs sedz no paša rīcībā esošajiem līdzekļiem, kas nav saistīti ar publisko atbalstu.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minētajām izmaksām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64. panta 1. punkta "c" apakšpunkta nosacījumiem, ja tas nav atgūstams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minēto atbalstāmo darbību ietvaros radušās izmaksas ir attiecināmas no brīža, kad projekta iesniegums iesniegts sadarbības iestādē.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Pasākuma ietvaros ir attiecināmas netiešās projekta īstenošanas izmaksas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minēto darbību īstenošanai. Netiešās attiecināmās izmaksas finansējuma saņēmējs plāno kā vienu izmaksu pozīciju, piemērojot netiešo izmaksu vienoto likmi 7 procentu apmērā no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norādītajām tiešajām attiecināmajām izmaksām saskaņā ar regulas </w:t>
      </w:r>
      <w:r w:rsidR="00000000" w:rsidRPr="00000000" w:rsidDel="00000000">
        <w:rPr>
          <w:rtl w:val="0"/>
        </w:rPr>
        <w:t xml:space="preserve">2021/1060</w:t>
      </w:r>
      <w:r w:rsidR="00000000" w:rsidRPr="00000000" w:rsidDel="00000000">
        <w:rPr>
          <w:rtl w:val="0"/>
        </w:rPr>
        <w:t xml:space="preserve"> 54. panta pirmās daļas ''a'' apakšpunktu.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Projekta īstenošanas un finansējuma saņemšanas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Īstenojot pasākuma darbības, finansējuma saņēmējs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komunikācijas un vizuālās identitātes pasākumus saskaņā ar regulas </w:t>
      </w:r>
      <w:r w:rsidR="00000000" w:rsidRPr="00000000" w:rsidDel="00000000">
        <w:rPr>
          <w:rtl w:val="0"/>
        </w:rPr>
        <w:t xml:space="preserve">2021/1060</w:t>
      </w:r>
      <w:r w:rsidR="00000000" w:rsidRPr="00000000" w:rsidDel="00000000">
        <w:rPr>
          <w:rtl w:val="0"/>
        </w:rPr>
        <w:t xml:space="preserve"> 47. un 50. pantu,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aktuālās informācijas ievietošanu savā tīmekļvietnē par projekta īstenošanu – ne retāk kā reizi pusgadā;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projekta īstenošanu saistītā finansējuma (tai skaitā privātā līdzfinansējuma) uzskaiti;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uzkrāšanu un uzskaiti projekta rādītāju sasniegšanas progresa noteikšanai.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Iepirkumus, kas nepieciešami projekta īstenošanai, finansējuma saņēmējs veic saskaņā ar normatīvajiem aktiem par iepirkuma procedūru un tās piemērošanas kārtību pasūtītāja finansētiem projektiem, nodrošinot atklātu, pārredzamu, nediskriminējošu un konkurenci nodrošinošu procedūru.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kopā ar projekta iesniegumu sniedz apliecinājumu, ka darbības rezultātā tiks ievērots princips "nenodarīt būtisku kaitējumu" un netiks radīts būtisks kaitējums, kas saistīts 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siltumnīcefekta gāzu (SEG) emisijām;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fosilo kurināmo (ieskaitot pakārtoto izmantošanu);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plānotajām darbībām saskaņā ar emisijas kvotu tirdzniecības sistēmu plānotajām CO</w:t>
      </w:r>
      <w:r w:rsidR="00000000" w:rsidRPr="00000000" w:rsidDel="00000000">
        <w:rPr>
          <w:vertAlign w:val="subscript"/>
          <w:rtl w:val="0"/>
        </w:rPr>
        <w:t xml:space="preserve">2</w:t>
      </w:r>
      <w:r w:rsidR="00000000" w:rsidRPr="00000000" w:rsidDel="00000000">
        <w:rPr>
          <w:rtl w:val="0"/>
        </w:rPr>
        <w:t xml:space="preserve"> ekvivalenta emisijām;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pašreizējā klimata un gaidāmā klimata nelabvēlīgās ietekmes palielināšanos uz pašu darbību vai uz cilvēkiem, dabu vai aktīviem;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kaitējumu ūdensobjektu labajam stāvoklim vai labajam ekoloģiskajam potenciālam (ieskaitot virszemes ūdeņus un gruntsūdeņus) vai labajam jūras ūdeņu vides stāvoklim;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neefektivitāti materiālu izmantošanā vai dabas resursu tiešā vai netiešā izmantošanā;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atkritumu rašanos, sadedzināšanu vai apglabāšanu, netiks plānoti ieguldījumi atkritumu apglabāšanas iekārtās poligonos, mehāniskajās bioloģiskās attīrīšanas un atkritumu sadedzināšanas iekārtās, kā arī darbībās, kurās ilgstoša atkritumu apglabāšana var radīt ilgtermiņa kaitējumu videi (piemēram, kodolatkritumi);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piesārņotāju emisijām gaisā, ūdenī vai zemē;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kaitējumu ekosistēmu labajam stāvoklim un izturētspējai vai dzīvotņu un sugu (tai skaitā Eiropas Savienības nozīmes dzīvotņu un sugu) aizsardzības statusam.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līdz ar projekta pieteikuma iesniegšanu apliecina, ka saņemtais atbalsts tiks vērsts uz eksporta apjoma un produktivitātes kāpināšanu piecu gadu laikā pēc finansējuma saņēmēja akciju vai parāda vērtspapīru iekļaušanas tirdzniecības vietā.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paraksta apliecinājumu par interešu konflikta neesību, kā arī projekta īstenošanas laikā tiek nodrošināta interešu konflikta nepieļaujamība un, ja nepieciešams, tiek novērsti vai laboti identificētie riski vai konstatētais interešu konflikts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61. panta prasībām.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Ar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Maksimāli pieļaujamā publiskā finansējuma atbalsta intensitāte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akciju emisijas gadījumā nepārsniedz 50 %, bet ne vairāk kā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parāda vērtspapīru emisijas gadījumā nepārsniedz 50 %, bet ne vairāk kā 120 000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Par atbalsta piešķiršanas dienu uzskatāma diena, kad sadarbības iestāde pieņēmusi lēmumu par projekta iesnieguma apstiprināšanu vai sniegusi atzinumu par lēmumā noteikto nosacījumu izpildi, ja iepriekš pieņemts lēmums par projekta iesnieguma apstiprināšanu ar nosacījumu.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Sadarbības iestāde nodrošina informācijas glabāšanu un pieejamību 10 gadus, skaitot no dienas, kad šīs atbalsta programmas ietvaros piešķirts pēdējais atbalsts, bet finansējuma saņēmējs nodrošina informācijas glabāšanu un pieejamību 10 gadus, skaitot no atbalsta piešķiršanas dienas.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Atbildīgā iestāde pēc finansējuma saņēmēja akciju vai parāda vērtspapīru iekļaušanas tirdzniecības vietā un piecus gadus pēc tam pārbauda finansējuma saņēmēja eksporta apjoma un produktivitātes pieaugumu.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Atbalstu, kas sniegts šo noteikumu ietvaros saskaņā ar Komisijas regulu Nr. </w:t>
      </w:r>
      <w:r w:rsidR="00000000" w:rsidRPr="00000000" w:rsidDel="00000000">
        <w:rPr>
          <w:rtl w:val="0"/>
        </w:rPr>
        <w:t xml:space="preserve">2023/2831</w:t>
      </w:r>
      <w:r w:rsidR="00000000" w:rsidRPr="00000000" w:rsidDel="00000000">
        <w:rPr>
          <w:rtl w:val="0"/>
        </w:rPr>
        <w:t xml:space="preserve">, nevar apvienot ar atbalstu par vienām un tām pašām attiecināmajām izmaksām, kas sniegts citā valsts atbalsta programmā vai individuālajā projektā.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Ar komercdarbības atbalsta saņemšanu saistītie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Atbalstu, pamatojoties uz Komisijas regulu Nr. </w:t>
      </w:r>
      <w:r w:rsidR="00000000" w:rsidRPr="00000000" w:rsidDel="00000000">
        <w:rPr>
          <w:rtl w:val="0"/>
        </w:rPr>
        <w:t xml:space="preserve">2023/2831</w:t>
      </w:r>
      <w:r w:rsidR="00000000" w:rsidRPr="00000000" w:rsidDel="00000000">
        <w:rPr>
          <w:rtl w:val="0"/>
        </w:rPr>
        <w:t xml:space="preserve">, projekta iesniedzējam piešķir, ja ir ievērotas minētās regulas prasības un normatīvie akti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Piešķirot atbalstu saskaņā ar Komisijas regulu Nr. </w:t>
      </w:r>
      <w:r w:rsidR="00000000" w:rsidRPr="00000000" w:rsidDel="00000000">
        <w:rPr>
          <w:rtl w:val="0"/>
        </w:rPr>
        <w:t xml:space="preserve">2023/2831</w:t>
      </w:r>
      <w:r w:rsidR="00000000" w:rsidRPr="00000000" w:rsidDel="00000000">
        <w:rPr>
          <w:rtl w:val="0"/>
        </w:rPr>
        <w:t xml:space="preserve">, pirms atbalsta piešķiršanas atbalsta sniedzējs pārbauda, vai pretendentam plānotais </w:t>
      </w:r>
      <w:r w:rsidR="00000000" w:rsidRPr="00000000" w:rsidDel="00000000">
        <w:rPr>
          <w:i w:val="1"/>
          <w:rtl w:val="0"/>
        </w:rPr>
        <w:t xml:space="preserve">de minimis</w:t>
      </w:r>
      <w:r w:rsidR="00000000" w:rsidRPr="00000000" w:rsidDel="00000000">
        <w:rPr>
          <w:rtl w:val="0"/>
        </w:rPr>
        <w:t xml:space="preserve"> atbalsts kopā ar iepriekšējos trijos gados piešķirto atbalstu nepārsniedz Komisijas Regulas Nr. </w:t>
      </w:r>
      <w:r w:rsidR="00000000" w:rsidRPr="00000000" w:rsidDel="00000000">
        <w:rPr>
          <w:rtl w:val="0"/>
        </w:rPr>
        <w:t xml:space="preserve">2023/2831</w:t>
      </w:r>
      <w:r w:rsidR="00000000" w:rsidRPr="00000000" w:rsidDel="00000000">
        <w:rPr>
          <w:rtl w:val="0"/>
        </w:rPr>
        <w:t xml:space="preserve"> 3. panta 2. punktā noteikto maksimālo apmēru viena vienota uzņēmuma līmenī.</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Viens vienots uzņēmums ir tāds uzņēmums, kas atbilst Komisijas regulas Nr. </w:t>
      </w:r>
      <w:r w:rsidR="00000000" w:rsidRPr="00000000" w:rsidDel="00000000">
        <w:rPr>
          <w:rtl w:val="0"/>
        </w:rPr>
        <w:t xml:space="preserve">2023/2831</w:t>
      </w:r>
      <w:r w:rsidR="00000000" w:rsidRPr="00000000" w:rsidDel="00000000">
        <w:rPr>
          <w:rtl w:val="0"/>
        </w:rPr>
        <w:t xml:space="preserve"> 2. panta 2. punktam.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tiek pārkāpti Komisijas regulas Nr. </w:t>
      </w:r>
      <w:r w:rsidR="00000000" w:rsidRPr="00000000" w:rsidDel="00000000">
        <w:rPr>
          <w:rtl w:val="0"/>
        </w:rPr>
        <w:t xml:space="preserve">2023/2831</w:t>
      </w:r>
      <w:r w:rsidR="00000000" w:rsidRPr="00000000" w:rsidDel="00000000">
        <w:rPr>
          <w:rtl w:val="0"/>
        </w:rPr>
        <w:t xml:space="preserve"> nosacījumi, finansējuma saņēmējam ir pienākums atmaksāt sadarbības iestādei projekta ietvaros saņemto nelikumīgo </w:t>
      </w:r>
      <w:r w:rsidR="00000000" w:rsidRPr="00000000" w:rsidDel="00000000">
        <w:rPr>
          <w:i w:val="1"/>
          <w:rtl w:val="0"/>
        </w:rPr>
        <w:t xml:space="preserve">de minimis </w:t>
      </w:r>
      <w:r w:rsidR="00000000" w:rsidRPr="00000000" w:rsidDel="00000000">
        <w:rPr>
          <w:rtl w:val="0"/>
        </w:rPr>
        <w:t xml:space="preserve">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Sadarbības iestāde lēmumu par </w:t>
      </w:r>
      <w:r w:rsidR="00000000" w:rsidRPr="00000000" w:rsidDel="00000000">
        <w:rPr>
          <w:i w:val="1"/>
          <w:rtl w:val="0"/>
        </w:rPr>
        <w:t xml:space="preserve">de minimis </w:t>
      </w:r>
      <w:r w:rsidR="00000000" w:rsidRPr="00000000" w:rsidDel="00000000">
        <w:rPr>
          <w:rtl w:val="0"/>
        </w:rPr>
        <w:t xml:space="preserve">atbalsta piešķiršanu saskaņā ar Komisijas regulas Nr. </w:t>
      </w:r>
      <w:r w:rsidR="00000000" w:rsidRPr="00000000" w:rsidDel="00000000">
        <w:rPr>
          <w:rtl w:val="0"/>
        </w:rPr>
        <w:t xml:space="preserve">2023/2831</w:t>
      </w:r>
      <w:r w:rsidR="00000000" w:rsidRPr="00000000" w:rsidDel="00000000">
        <w:rPr>
          <w:rtl w:val="0"/>
        </w:rPr>
        <w:t xml:space="preserve"> 7. panta 3. punktu un 8. pantu var pieņemt līdz minētās regulas darbības beigām.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24-TA-137</w:t>
    </w:r>
    <w:r>
      <w:br/>
    </w:r>
    <w:r w:rsidR="00000000" w:rsidRPr="00000000" w:rsidDel="00000000">
      <w:rPr>
        <w:rtl w:val="0"/>
      </w:rPr>
      <w:t xml:space="preserve">Izdrukāts 29.07.2026. 22.01 - 1.0.VK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24-TA-137</w:t>
    </w:r>
    <w:r>
      <w:br/>
    </w:r>
    <w:r w:rsidR="00000000" w:rsidRPr="00000000" w:rsidDel="00000000">
      <w:rPr>
        <w:rtl w:val="0"/>
      </w:rPr>
      <w:t xml:space="preserve">Izdrukāts 29.07.2026. 22.01 - 1.0.VK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noteikumu_konsolidētā_versija_24-TA-137.docx</dc:title>
</cp:coreProperties>
</file>

<file path=docProps/custom.xml><?xml version="1.0" encoding="utf-8"?>
<Properties xmlns="http://schemas.openxmlformats.org/officeDocument/2006/custom-properties" xmlns:vt="http://schemas.openxmlformats.org/officeDocument/2006/docPropsVTypes"/>
</file>