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decembrī (prot. Nr. 51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Moldovas Republikai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(Valsts robežsardzei) nodot Moldovas Republikai (Moldovas Republikas Iekšlietu ministrijas Robežpolicijas Ģenerālinspekcijai) bez atlīdzības valsts kustamo mantu – divus treilerus ar ķīļblokiem (kopējā bilances vērtība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organizēt valsts kustamās mantas nogādāšanu Moldovā un nodošanu Moldovas Republikas Iekšlietu ministrijas Robežpolicijas Ģenerālinspekcijai.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 atbilstoši Ministru kabineta 2006. gada 25. jūlija noteikumu Nr. 618 "Kārtība, kādā valsts kustamo mantu nodod bez atlīdzības ārvalstu valdību un starpvalstu organizāciju īpašumā" 3. punktam noslēgt līgumu par šā rīkojuma 1. punktā minētās valsts kustamās mantas nodošanu bez atlīdzības Moldovas Republikas Iekšlietu ministrijas Robežpolicijas Ģenerālinspekcijai.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25-TA-2369</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25-TA-2369</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rīkojuma_projekts_25-TA-2369.docx</dc:title>
</cp:coreProperties>
</file>

<file path=docProps/custom.xml><?xml version="1.0" encoding="utf-8"?>
<Properties xmlns="http://schemas.openxmlformats.org/officeDocument/2006/custom-properties" xmlns:vt="http://schemas.openxmlformats.org/officeDocument/2006/docPropsVTypes"/>
</file>