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28. janvārī (prot. Nr. 4 12.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5. septembra noteikumos Nr. 512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budžetu un finanšu vadību</w:t>
      </w:r>
      <w:r w:rsidR="00000000" w:rsidRPr="00000000" w:rsidDel="00000000">
        <w:rPr>
          <w:rStyle w:val="paragraph"/>
          <w:i w:val="1"/>
          <w:rtl w:val="0"/>
        </w:rPr>
        <w:t xml:space="preserve"> 19.</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5. septembra noteikumos Nr. 512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 (Latvijas Vēstnesis, 2023, 173. nr.; 2024, 7., 119.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Pasākuma Atveseļošanas fonda finansējums ir 4 812 637 </w:t>
      </w:r>
      <w:r w:rsidR="00000000" w:rsidRPr="00000000" w:rsidDel="00000000">
        <w:rPr>
          <w:i w:val="1"/>
          <w:rtl w:val="0"/>
        </w:rPr>
        <w:t xml:space="preserve">euro</w:t>
      </w:r>
      <w:r w:rsidR="00000000" w:rsidRPr="00000000" w:rsidDel="00000000">
        <w:rPr>
          <w:rtl w:val="0"/>
        </w:rPr>
        <w:t xml:space="preserve">. Papildus pasākuma finansējumu veido valsts budžeta finansējums pievienotās vērtības nodokļa segšanai indikatīvi 1 006 101 </w:t>
      </w:r>
      <w:r w:rsidR="00000000" w:rsidRPr="00000000" w:rsidDel="00000000">
        <w:rPr>
          <w:i w:val="1"/>
          <w:rtl w:val="0"/>
        </w:rPr>
        <w:t xml:space="preserve">euro</w:t>
      </w:r>
      <w:r w:rsidR="00000000" w:rsidRPr="00000000" w:rsidDel="00000000">
        <w:rPr>
          <w:rtl w:val="0"/>
        </w:rPr>
        <w:t xml:space="preserve">, kā arī pašvaldības budžeta finansējums un privātais finansējums, ja projekta izmaksas pārsniedz pieejamo Atveseļošanas fonda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19.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Ja pasākumā ir pieejams Atveseļošanas fonda finansējums, ministrija var piešķirt papildu kvotas pašvaldībām un paredzēt mājokļa pielāgošanu vairāk nekā 259 mērķa grupas personām."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26.3.1.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"26.3.1. 30 darbdienu laikā pēc šo noteikumu 26.2. apakšpunktā minētās projekta veidlapas saņemšanas pārliecinās, ka uz projekta iesniedzēju un, ja attiecināms, tā valdes vai padomes locekli vai prokūristu nav attiecināmi Eiropas Parlamenta un Padomes 2024. gada 23. septembra Regulas (ES, Euratom) 2024/2509 par finanšu noteikumiem, ko piemēro Savienības vispārējam budžetam (pārstrādāta redakcija), 61. pantā noteiktie izslēgšanas kritēriji (turpmāk – izslēgšanas kritēriji), kā arī pārliecinās, ka projekta veidlapa atbilst šo noteikumu 26.1. apakšpunktā minētajā uzaicinājumā iekļautajai informācijai un šo noteikumu nosacījumiem, izņemot mērķa grupas atbilstības pārbaudi;".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U. Augulis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24-TA-2901</w:t>
    </w:r>
    <w:r>
      <w:br/>
    </w:r>
    <w:r w:rsidR="00000000" w:rsidRPr="00000000" w:rsidDel="00000000">
      <w:rPr>
        <w:rtl w:val="0"/>
      </w:rPr>
      <w:t xml:space="preserve">Izdrukāts 29.07.2026. 22.58 - 1.0.VK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24-TA-2901</w:t>
    </w:r>
    <w:r>
      <w:br/>
    </w:r>
    <w:r w:rsidR="00000000" w:rsidRPr="00000000" w:rsidDel="00000000">
      <w:rPr>
        <w:rtl w:val="0"/>
      </w:rPr>
      <w:t xml:space="preserve">Izdrukāts 29.07.2026. 22.58 - 1.0.VK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noteikumu_(grozījumu)_projekts_24-TA-2901.docx</dc:title>
</cp:coreProperties>
</file>

<file path=docProps/custom.xml><?xml version="1.0" encoding="utf-8"?>
<Properties xmlns="http://schemas.openxmlformats.org/officeDocument/2006/custom-properties" xmlns:vt="http://schemas.openxmlformats.org/officeDocument/2006/docPropsVTypes"/>
</file>