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 – 2027. gadam 4.3.4. specifiskā atbalsta mērķa “Sekmēt aktīvu iekļaušanu, lai veicinātu vienlīdzīgas iespējas, nediskriminēšanu un aktīvu līdzdalību, kā arī uzlabotu nodarbināmību, jo īpaši attiecībā uz nelabvēlīgā situācijā esošām grupām” 4.3.4.1.pasākuma “Vienlīdzīgu iespēju un nediskriminācijas veicināšana”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 – 2027. gadam (turpmāk - programma) 4.3.4. specifiskā atbalsta mērķa “Sekmēt aktīvu iekļaušanu, lai veicinātu vienlīdzīgas iespējas, nediskriminēšanu un aktīvu līdzdalību, kā arī uzlabotu nodarbināmību, jo īpaši attiecībā uz nelabvēlīgā situācijā esošām grupām” 4.3.4.1. pasākumu “Vienlīdzīgu iespēju un nediskriminācijas veicināšana”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projekta iesniedzējam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veicināt vienlīdzīgas iespējas un nediskrimināciju, īstenojot informatīvus, izglītojošus un metodiskā atbalsta pasākumus politikas plānotājiem un īstenotājiem un darba devējiem.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politikas plānošanā, īstenošanā un novērtēšanā iesaistītās valsts un pašvaldību iestādes, to kapitālsabiedrības un to darbinieki;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biedrības, nodibinājumi, mikrouzņēmumi, mazie vai vidējie uzņēmumi un to darbinieki.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iznākuma rādītājs – nacionāla, reģionāla vai vietēja mēroga valsts administrācijas vai sabiedrisko pakalpojumu iestāžu un pakalpojumu skaits, kas saņēmušas atbalstu – 35;</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iznākuma rādītājs – biedrības un nodibinājumi, mikrouzņēmumi, mazie vai vidējie uzņēmumi, kas saņēmuši atbalstu – 83;</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rezultāta rādītājs – personas, kuras pilnveidojušas savu profesionālo kompetenci vienlīdzīgu iespēju un nediskriminācijas jomā – 440;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2029. gada 31. decembrim: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iznākuma rādītājs – nacionāla, reģionāla vai vietēja mēroga valsts administrācijas vai sabiedrisko pakalpojumu iestāžu un pakalpojumu skaits, kas saņēmušas atbalstu – 211;</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iznākuma rādītājs – biedrības un nodibinājumi, mikrouzņēmumi, mazie vai vidējie uzņēmumi, kas saņēmuši atbalstu – 500;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rezultāta rādītājs – personas, kuras pilnveidojušas savu profesionālo kompetenci vienlīdzīgu iespēju un nediskriminācijas jomā – 2700.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Labklājības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Pasākumam plānotais un pieejamais kopējais attiecināmais finansējums ir 2 000 000 </w:t>
      </w:r>
      <w:r w:rsidR="00000000" w:rsidRPr="00000000" w:rsidDel="00000000">
        <w:rPr>
          <w:i w:val="1"/>
          <w:rtl w:val="0"/>
        </w:rPr>
        <w:t xml:space="preserve">euro</w:t>
      </w:r>
      <w:r w:rsidR="00000000" w:rsidRPr="00000000" w:rsidDel="00000000">
        <w:rPr>
          <w:rtl w:val="0"/>
        </w:rPr>
        <w:t xml:space="preserve">, tai skaitā Eiropas Sociālā fonda Plus finansējums – 1 700 000 </w:t>
      </w:r>
      <w:r w:rsidR="00000000" w:rsidRPr="00000000" w:rsidDel="00000000">
        <w:rPr>
          <w:i w:val="1"/>
          <w:rtl w:val="0"/>
        </w:rPr>
        <w:t xml:space="preserve">euro </w:t>
      </w:r>
      <w:r w:rsidR="00000000" w:rsidRPr="00000000" w:rsidDel="00000000">
        <w:rPr>
          <w:rtl w:val="0"/>
        </w:rPr>
        <w:t xml:space="preserve">un valsts budžeta līdzfinansējums – 300 000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attiecināmais Eiropas Sociālā fonda Plus finansējuma apmērs nepārsniedz 85 procentus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minētām izmaksu pozīcijām un ir radušās, sākot ar šo noteikumu spēkā stāšanās dienu.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iesnieguma iesniedzējam, finansējuma saņēmējam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pasākuma ietvaros ir valsts pārvaldes iestāde, kas organizē un koordinē darba, sociālās aizsardzības, bērnu un ģimenes tiesību, kā arī personu ar invaliditāti vienlīdzīgu iespēju un dzimumu līdztiesības politikas īstenošanu – Labklājības ministrija, kas pēc projekta iesnieguma apstiprināšanas kļūst par Eiropas Sociālā fonda Plus finansējuma saņēmēju (turpmāk –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Finansējuma saņēmēja sadarbības partneris ir Valsts administrācijas skola (turpmāk - sadarbības partneris). Finansējuma saņēmējs ar sadarbības partneri slēdz sadarbības līgumu, kurā iekļauj informāciju saskaņā ar normatīvajiem aktiem par kārtību, kādā Eiropas Savienības fondu vadībā iesaistītās institūcijas nodrošina šo fondu ieviešanu 2021. – 2027. gada plānošanas periodā, kā arī iekļauj sadarbības partnera pienākumu nodrošināt šo noteikumu 21.1. apakšpunktā minētās e - mācību programmas īstenošanu atbilstoši šo noteikumu 22. punktā noteiktajam.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veiktspējas paaugstināšana par vienlīdzīgu iespēju un nediskriminācijas principu integrēšanu politikas plānošanas, īstenošanas un novērtēšanas procesos šo noteikumu 3.1. apakšpunktā minētajai mērķa grupai;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veiktspējas paaugstināšana par iekļaujošas darba vides un diskriminācijas novēršanas jautājumiem šo noteikumu 3.2. apakšpunktā minētajai mērķa grupai;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pasākumu darba samaksas atšķirību mazināšanai īstenošana šo noteikumu 3. punktā minētajai mērķa grupai;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un publicitātes pasākumi par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vadība un tā īstenošanas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14.1.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atbildīgās iestādes izstrādātās vienotās likmes un tās piemērošanas metodikas personāla atlīdzības izmaksām (turpmāk – personāla izmaksu metodika) apstiprināšanai, finansējuma saņēmēja projekta īstenošanas personāla un vadības personāla atlīdzības izmaksas un sadarbības partnera projekta īstenošanas personāla atlīdzības izmaksas saskaņā ar Valsts un pašvaldību institūciju amatpersonu un darbinieku atlīdzības likumu, izņemot virsstundas. Ja personāla iesaiste projektā ir nodrošināta saskaņā ar daļlaika attiecināmības principu, attiecināma ir ne mazāka kā 30 procentu noslodze;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personāla izmaksu metodikas apstiprināšanas, finansējuma saņēmēja projekta īstenošanas personāla un vadības personāla atlīdzības izmaksas un sadarbības partnera projekta īstenošanas personāla atlīdzības izmaksas, tai skaitā veselības apdrošināšanas izmaksas un redzes korekcijas līdzekļu kompensācijas izmaksas, piemērojot personāla izmaksu metodikā noteikto likmi no šo noteikumu 14.1. apakšpunktā minētajām tiešajām attiecināmajām izmaksām, kas nav tiešās personāla izmaksas. Minētās tiešās attiecināmās personāla izmaksas projekta iesniegumā plāno kā vienu izmaksu pozīciju;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iepirkumu līgumu izmaksas šo noteikumu 13.1., 13.2., 13.3., 13.4. un 13.5. apakšpunktā minētās atbalstāmās darbības īstenošanai, ja šo noteikumu 13.5. apakšpunktā minētās atbalstāmās darbības īstenošanai finansējuma saņēmējs projekta vadības un īstenošanas personālu un sadarbības partneris projekta īstenošanas personālu piesaista uz iepirkumu līguma pamata;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komandējumu izmaksas finansējuma saņēmēja projekta vadības un īstenošanas personālam: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iekšzemes komandējumu un darba braucienu izmaksas šo noteikumu 13.1., 13.2., 13.3. un 13.5. apakšpunktā minētās atbalstāmās darbības īstenošanai. Iekšzemes komandējumu un darba braucienu izmaksām piemēro vadošās iestādes metodikas par vienas vienības izmaksu standarta likmes aprēķinu un piemērošanu 1 km izmaksām un iekšzemes komandējumu izmaksām;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komandējumu izmaksas finansējuma saņēmēja projekta īstenošanas personālam un projekta vadītājam šo noteikumu 13.1., 13.2. un 13.3. apakšpunktā minētās atbalstāmās darbības īstenošanai. Ārvalstu komandējumu izmaksas aprēķina un atlīdzina saskaņā ar normatīvo aktu par kārtību, kādā atlīdzināmi ar komandējumiem saistītie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personāla izmaksu metodikas apstiprināšanai normatīvajos aktos par kārtību, kādā veicama obligātā veselības pārbaude, paredzēto veselības pārbaužu izmaksas un redzes korekcijas līdzekļu kompensācija finansējuma saņēmēja projekta vadības un īstenošanas personālam un sadarbības partnera projekta īstenošanas personālam, ja tās nav iekļautas šo noteikumu 16.3. apakšpunktā minētajā veselības apdrošināšanas polisē.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15.2.1. apakšpunktā minēto iepirkumu līgumu ietvaros ņem vērā,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ēdināšanu, telpu nomu, naktsmītnes, ekspertu, lektoru un moderatoru atlīdzību, tehnisko nodrošinājumu un kancelejas preču iegādi var paredzēt šo noteikumu 13.1., 13.2. un 13.3.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partnera mācību pārvaldības sistēmas (turpmāk – mācību pārvaldības sistēma) pilnveidi un uzturēšanu var paredzēt šo noteikumu 21.1.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personāla izmaksu metodikas apstiprināšanai veselības apdrošināšanu var paredzēt finansējuma saņēmēja projekta īstenošanas un vadības personālam un sadarbības partnera projekta īstenošanas personālam. Ja personāls ir nodarbināts normālu darba laiku, veselības apdrošināšanas izmaksas ir attiecināmas 100 procentu apmērā. Ja personāls ir nodarbināts nepilnu darba laiku, veselības apdrošināšanas izmaksas nosakāmas atbilstoši nepilnā darba laika noslodzei. Ja personāla atlīdzībai piemēro daļlaika attiecināmības principu, veselības apdrošināšanas izmaksas nosakāmas atbilstoši daļlaika noslodzei. Veselības apdrošināšanas izmaksas ir attiecināmas tikai laikposmā, kad personāls ir nodarbināts projektā;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vietas aprīkojuma iegādei vai nomai, tai skaitā aprīkojuma uzturēšanai un remontam, finansējuma saņēmēja projekta īstenošanas un vadības personālam jaunu darba vietu radīšanai vai esošo darba vietu atjaunošanai var paredzēt ne vairāk kā 3 000 </w:t>
      </w:r>
      <w:r w:rsidR="00000000" w:rsidRPr="00000000" w:rsidDel="00000000">
        <w:rPr>
          <w:i w:val="1"/>
          <w:rtl w:val="0"/>
        </w:rPr>
        <w:t xml:space="preserve">euro</w:t>
      </w:r>
      <w:r w:rsidR="00000000" w:rsidRPr="00000000" w:rsidDel="00000000">
        <w:rPr>
          <w:rtl w:val="0"/>
        </w:rPr>
        <w:t xml:space="preserve"> apmērā vienai darba vietai visā projekta īstenošanas laikā. Ja personāls ir nodarbināts normālu darba laiku, darba vietas aprīkojuma izmaksas ir attiecināmas 100 procentu apmērā. Ja personāls ir nodarbināts nepilnu darba laiku vai personāla atlīdzībai piemēro daļlaika attiecināmības principu, darba vietas izmaksas ir attiecināmas proporcionāli slodzes procentuālajam sadalījumam;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transporta pakalpojumu iegādi (transportlīdzekļa noma un transportlīdzekļa pakalpojuma iegāde) var paredzēt finansējuma saņēmēja projekta vadības un īstenošanas personālam šo noteikumu 13.1., 13.2., 13.3. un 13.5. apakšpunktā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darbību īstenošanu, tai skaitā zīmju valodas tulku, vieglās valodas tulkošanu, reāllaika transkripciju, subtitrus, bērnu uzraudzības pakalpojuma nodrošināšanu mācību dalībniekiem var paredzēt šo noteikumu 13. punktā minēto atbalstāmo darbību īstenošanai.</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14.2. apakšpunktā minētās netiešās attiecināmās izmaksas finansējuma saņēmējs plāno kā vienu izmaksu pozīciju septiņu procentu apmērā no projekta tiešajām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ietvertajiem nosacījumiem.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ietvaros šo noteikumu 13.1., 13.2. un 13.3. apakšpunktā minēto atbalstāmo darbību īstenošanu pārvalda Labklājības ministrijas izveidota uzraudzības padome (turpmāk – padome). Padomes sastāvā ir finansējuma saņēmēja, Izglītības un zinātnes ministrijas, Tieslietu ministrijas, Kultūras ministrijas, Valsts kancelejas, Valsts administrācijas skolas, Latvijas Pašvaldību savienības, Latvijas Darba devēju konfederācijas, Latvijas Brīvo arodbiedrību savienības un citu biedrību un nodibinājumu pārstāvji. Atbildīgās iestādes un vadošās iestādes pārstāvji padomes darbībā var piedalīties novērotāja statusā.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Padome: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iepazīstas ar pasākuma ieviešanas progresu un sniedz priekšlikumus pasākuma ieviešanas pilnveidei;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saskaņo šo noteikumu 21.1. un 23.2. apakšpunktā minēto mācību programmu saturu;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saskaņo šo noteikumu 24.1. apakšpunktā minēto izvērtējumu;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saskaņo šo noteikumu 24.3. apakšpunktā minētā izmēģinājumprojektā iesaistāmās valsts un pašvaldību iestādes un to kapitālsabiedrības un biedrības, nodibinājumus, mikrouzņēmumus, mazos vai vidējos uzņēmumus.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13.1. apakšpunktā minētās atbalstāmās darbības īsteno finansējuma saņēmēja izvēlēts pakalpojuma sniedzējs, kas: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e-mācību programmu par vienlīdzīgu iespēju un nediskriminācijas jautājumiem un, ja nepieciešams, aktualizē to. Mācību programmā ietver vismaz sešus moduļus par diskriminācijas aizliegumu – dzimuma, vecuma, invaliditātes, rases vai etniskā izcelsmes, ticības vai reliģiskās pārliecības un dzimumorientācijas dēļ;</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digitālo rokasgrāmatu par vienlīdzīgu iespēju un nediskriminācijas principu integrēšanu politikas plānošanas, īstenošanas un novērtēšanas procesos un, ja nepieciešams, aktualizē to;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 izpratnes veicināšanas un izglītojošos pasākumus, tai skaitā konferences, seminārus, tematiskās diskusijas, darba grupas, domnīcas par vienlīdzīgu iespēju un nediskriminācijas jautājumiem.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Sadarbības partneris, kas īsteno šo noteikumu 21.1. apakšpunktā minēto e-mācību programmu: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mācību dalībniekiem piekļuves tiesības mācību pārvaldības sistēmai;</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sadarbībā ar finansējuma saņēmēju plāno mācību norisi un laikus, tai skaitā organizē mācību dalībnieku grupas;</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izvieto un uztur šo noteikumu 21.1. apakšpunktā minētās mācību programmas mācību materiālus mācību pārvaldības sistēmā;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papildina mācību pārvaldības sistēmas funkcionalitāti un nodrošina tai nepieciešamo veiktspēju;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mācību dalībnieku zināšanu pārbaudes tehnisko risinājumu;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 mācību dalībnieku atbilstības iesaistei e - mācībās pārbaudi un dalībnieku uzskaiti un iesniedz finansējuma saņēmējam dokumentu, kas apliecina mācību dalībnieku dalību e – mācībās, kurā norāda dalībnieka vārdu, uzvārdu, personas kodu, darba vietas e-pasta adresi un citu personas datus nesaturošu informāciju, kas nepieciešama maksājuma pieprasījumu un dalībnieku pārskata sagatavošanai.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13.2. apakšpunktā minētās atbalstāmās darbības īsteno finansējuma saņēmēja izvēlēts pakalpojuma sniedzējs, kas: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metodiskos materiālus par iekļaujošas darba vides un diskriminācijas novēršanas jautājumiem un, ja nepieciešams, aktualizē tos. Metodisko materiālu izstrādē sadarbojas ar darba devējus un darba ņēmējus pārstāvošajām organizācijām;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mācību programmu par iekļaujošas darba vides un diskriminācijas novēršanas jautājumiem, ja nepieciešams, arī attālinātā formātā, kā arī popularizē šīs mācību programmas apguves iespējas. Mācību programmas izstrādē sadarbojas ar darba devējus un darba ņēmējus pārstāvošajām organizācijām;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 šo noteikumu 23.2. apakšpunktā minēto mācību programmu, ja nepieciešams, nodrošina mācību līdzekļu, izdales materiālu un individuālo mācību piederumu pieejamību, mācību programmu dalībniekiem;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 mācību dalībnieku atbilstības iesaistei mācībās pārbaudi un dalībnieku uzskaiti un iesniedz finansējuma saņēmējam dokumentu, kas apliecina mācību dalībnieku dalību mācībās, kurā norāda dalībnieka vārdu, uzvārdu, personas kodu, darba vietas e-pasta adresi un citu personu datus nesaturošu informāciju, kas nepieciešama maksājuma pieprasījumu un dalībnieku pārskata sagatavošanai;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13.3. apakšpunktā minētās atbalstāmās darbības īsteno finansējuma saņēmēja izvēlēts pakalpojuma sniedzējs, kas: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izvērtējumu par darba samaksas atšķirībām starp sievietēm un vīriešiem valsts un pašvaldību iestādēs un to kapitālsabiedrībās, biedrībās, nodibinājumos un mikrouzņēmumos, mazos vai vidējos uzņēmumos;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saturu rīcības modelim darba samaksas atšķirību starp sievietēm un vīriešiem mazināšanai;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 izmēģinājumprojektu šo noteikumu 24.2. apakšpunktā minētā rīcības modeļa ieviešanai;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izmēģinājumprojektā iesaista vismaz divas politikas veidošanā un īstenošanā iesaistītās valsts un pašvaldību iestādes un to kapitālsabiedrības, divas biedrības, nodibinājumus un mikrouzņēmumus, mazos vai vidējos uzņēmumus un to darbiniekus, un to īsteno ne ilgāk kā divus gadus;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šo noteikumu 24.3. apakšpunktā minētā izmēģinājumprojekta īstenošanas, ja nepieciešams, precizē šo noteikumu 24.2. apakšpunktā minētā rīcības modeļa saturu;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īsteno izpratnes veicināšanas un izglītojošus pasākumus darba devējiem par darba samaksas atšķirību starp sievietēm un vīriešiem valsts un pašvaldību iestādēs un to kapitālsabiedrībās, biedrībās, nodibinājumos un mikrouzņēmumos, mazos vai vidējos uzņēmumos mazināšanu.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Īstenojot projektu, finansējuma saņēmējs un sadarbības partneris: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nodibina civildienesta vai darba tiesiskās attiecības ar projekta īstenošanas personālu un vadības personālu un, paredzot tam atlīdzības izmaksas, nodrošina, ka šis personāls tiek nodarbināts normālu vai nepilnu darba laiku, tai skaitā atlīdzībai var piemērot daļlaika attiecināmības principu. Ja personāla atlīdzībai piemēro daļlaika attiecināmības principu, veic personāla darba laika uzskaiti par nostrādāto laiku un veiktajām funkcijām;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publiskos iepirkumus veic saskaņā ar normatīvajiem aktiem publisko iepirkumu jomā, īstenojot konkurenci nodrošinošu, pārredzamu, atklātu, nediskriminējošu konkursa procedūru un, kur tas ir attiecināms, īsteno sociāli atbildīgus un inovatīvus iepirkumus;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piesaistot šo noteikumu 13. punktā minēto atbalstāmo darbību īstenošanai nepieciešamo personālu vai īsteno iepirkumus nodrošinot, ka projekta īstenošanas laikā tiek ievēroti interešu konflikta, korupcijas un krāpšanas novēršanas nosacījumi, vismaz paredzot, ka projekta vadībā iesaistītais personāls un iepirkumu līgumu izpildītāji ir: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informēti par korupcijas un interešu konflikta novēršanas jautājumiem, krāpšanas pazīmēm un pienākumu ziņot par konstatētājām aizdomām, kā arī ir informēti par ziņotāju aizsardzību atbilstoši Trauksmes celšanas likumam;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parakstījuši apliecinājumus par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un publisko iepirkumu regulējošiem normatīviem aktiem;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informācijas un publicitātes, kā arī vizuālās identitātes pasākumus, kas noteikti regulas Nr. 2021/1060 47. un 50. pantā un atbilstoši normatīvajiem aktiem par kārtību, kādā Eiropas Savienības fondu vadībā iesaistītās institūcijas nodrošina šo fondu ieviešanu 2021. – 2027. gada plānošanas periodā un ES fondu 2021. – 2027. gada plānošanas perioda un Atveseļošanas fonda komunikācijas un dizaina vadlīnijās;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personu datu apstrādi veic saskaņā ar personas datu aizsardzības regulējošo normatīvo aktu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savā tīmekļa vietnē ievieto aktuālu informāciju par projekta īstenošanu un, ja nepieciešams, aktualizē to.</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projektā plānotas atbalstāmās darbības netiek finansētas vai līdzfinansētas, kā arī tās nav plānots finansēt vai līdzfinansēt no citiem valsts, pašvaldības vai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uzskaita un iesniedz sadarbības iestādē apkopotus datus par atbalstu saņēmušām šo noteikumu 4.2.3. apakšpunktā minētajām personām atbilstoši Eiropas Parlamenta un Padomes 2021. gada 24. jūnija regulas (ES) 2021/1057, ar ko izveido Eiropas Sociālo fondu Plus (ESF+) un atceļ Regulu (ES) Nr. 1296/2013 (turpmāk – regula Nr. 2021/1057) 1. pielikumam un saskaņā ar normatīvo aktu par kārtību, kādā tiek veiktas pārbaudes Eiropas Savienības fondu projektos 2021.–2027. gada plānošanas periodā, 1. pielikumu;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uzskaita un iesniedz sadarbības iestādē apkopotus datus par kopējiem tūlītējiem rādītājiem saskaņā ar regulas Nr. 2021/1057 1. pielikumu;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uzkrāj datus par šādiem horizontālā principa “Vienlīdzība, iekļaušana, nediskriminācija un pamattiesību ievērošana”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personu skaits, kuras ir piedalījušās mācību programmās, kurās ir integrēti jautājumi par dzimumu līdztiesības, personu ar invaliditāti vienlīdzīgu iespēju, vecuma nediskriminācijas, etniskās un citas piederības un pamattiesību jautājumiem, tostarp par tiesiskajiem un praktiskajiem aspektiem;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konsultatīva rakstura pasākumu skaits par dzimumu līdztiesības, personu ar invaliditāti vienlīdzīgu iespēju, vecuma nediskriminācijas, etniskās un citas piederības un pamattiesību jautājumiem;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izstrādāto vai pilnveidoto stratēģiju, izglītības programmu, metodisko līdzekļu, vadlīniju, mācību līdzekļu, tai skaitā digitālo, skaits, kuros integrēti jautājumi par dzimumu līdztiesību, personu ar invaliditāti vienlīdzīgām iespējām, diskriminācijas novēršanu vecuma, etniskās piederības un citu iemeslu dēļ, kā arī pamattiesību jautājumi;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bērnu uzraudzības pakalpojumu saņēmušo personu, kas piedalās mācībās vai projekta aktivitātēs, skaits.</w:t>
      </w:r>
    </w:p>
    <w:p w:rsidP="00000000" w:rsidRDefault="00000000" w:rsidR="00000000" w:rsidRPr="00000000" w:rsidDel="00000000">
      <w:pPr>
        <w:numPr>
          <w:ilvl w:val="2"/>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iepirkumu līgumos, kurus slēdz šo noteikumu 13.1., 13.2., 13.3., 13.4. un 13.5. apakšpunktā minētās atbalstāmās darbības īstenošanai, avansa maksājumus var paredzēt ne vairāk kā 30 procentu apmērā no attiecīgā līguma summas.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2029. gada 31. decembrim.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22-TA-3201</w:t>
    </w:r>
    <w:r>
      <w:br/>
    </w:r>
    <w:r w:rsidR="00000000" w:rsidRPr="00000000" w:rsidDel="00000000">
      <w:rPr>
        <w:rtl w:val="0"/>
      </w:rPr>
      <w:t xml:space="preserve">Izdrukāts 29.07.2026. 22.35 - 5.0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22-TA-3201</w:t>
    </w:r>
    <w:r>
      <w:br/>
    </w:r>
    <w:r w:rsidR="00000000" w:rsidRPr="00000000" w:rsidDel="00000000">
      <w:rPr>
        <w:rtl w:val="0"/>
      </w:rPr>
      <w:t xml:space="preserve">Izdrukāts 29.07.2026. 22.35 - 5.0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noteikumu_projekts_22-TA-3201.docx</dc:title>
</cp:coreProperties>
</file>

<file path=docProps/custom.xml><?xml version="1.0" encoding="utf-8"?>
<Properties xmlns="http://schemas.openxmlformats.org/officeDocument/2006/custom-properties" xmlns:vt="http://schemas.openxmlformats.org/officeDocument/2006/docPropsVTypes"/>
</file>