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kārtību, kādā profesionālā dienesta karavīram piešķir kompensāciju dzīvojamās telpas īres izdevumu un komunālo maksājumu segšanai, un kompensācijas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w:t>
      </w:r>
      <w:r>
        <w:br/>
      </w:r>
      <w:r w:rsidR="00000000" w:rsidRPr="00000000" w:rsidDel="00000000">
        <w:rPr>
          <w:rStyle w:val="paragraph"/>
          <w:i w:val="1"/>
          <w:rtl w:val="0"/>
        </w:rPr>
        <w:t xml:space="preserve">un darbinieku atlīdzības likuma</w:t>
      </w:r>
      <w:r w:rsidR="00000000" w:rsidRPr="00000000" w:rsidDel="00000000">
        <w:rPr>
          <w:rStyle w:val="paragraph"/>
          <w:i w:val="1"/>
          <w:rtl w:val="0"/>
        </w:rPr>
        <w:t xml:space="preserve"> 31.panta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profesionālā dienesta karavīram (turpmāk – karavīrs) piešķir kompensāciju dzīvojamās telpas īres izdevumu un komunālo maksājumu (turpmāk – kompensācija) segšanai, un kompensācijas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izpildi finansē no Aizsardzības ministrijai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Kompensāciju karavīram piešķir no dienas, kad stājies spēkā līgums par profesionālo dienestu, līdz dienai, kad līgums par profesionālo dienestu zaudē spēku.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Kompensācijas apmērs ir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Kompensāciju karavīram izmaksā reizi mēnesī. Ja kompensāciju izmaksā par nepilnu mēnesi, tās apmēru aprēķina proporcionāli nodienētajam laikam.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spēku zaudējušiem Ministru kabineta 2007.gada 2.janvāra noteikumus Nr.20 "Noteikumi par kārtību, kādā profesionālā dienesta karavīriem izmaksā kompensāciju dzīvojamās telpas īres izdevumu un komunālo maksājumu segšanai, un kompensācijas apmēru" (Latvijas Vēstnesis, 2007, 5.nr.; 2008, 14.nr.).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22-TA-486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22-TA-486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noteikumu_konsolidētā_versija_22-TA-486.docx</dc:title>
</cp:coreProperties>
</file>

<file path=docProps/custom.xml><?xml version="1.0" encoding="utf-8"?>
<Properties xmlns="http://schemas.openxmlformats.org/officeDocument/2006/custom-properties" xmlns:vt="http://schemas.openxmlformats.org/officeDocument/2006/docPropsVTypes"/>
</file>