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480" w:beforeAutospacing="0"/>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Sēde</w:t>
      </w:r>
    </w:p>
    <w:p w:rsidP="00000000" w:rsidRDefault="00000000" w:rsidR="00000000" w:rsidRPr="00000000" w:rsidDel="00000000">
      <w:pPr>
        <w:contextualSpacing w:val="0"/>
        <w:jc w:val="center"/>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Protokola izraksts</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gada 22. augustā</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Nr. 41</w:t>
            </w:r>
          </w:p>
        </w:tc>
      </w:tr>
    </w:tbl>
    <w:p w:rsidP="00000000" w:rsidRDefault="00000000" w:rsidR="00000000" w:rsidRPr="00000000" w:rsidDel="00000000">
      <w:pPr>
        <w:contextualSpacing w:val="0"/>
        <w:jc w:val="center"/>
        <w:spacing w:before="240" w:beforeAutospacing="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22. §</w:t>
      </w:r>
    </w:p>
    <w:p w:rsidP="00000000" w:rsidRDefault="00000000" w:rsidR="00000000" w:rsidRPr="00000000" w:rsidDel="00000000">
      <w:pPr>
        <w:pStyle w:val="bold_paragraph_header"/>
        <w:contextualSpacing w:val="0"/>
        <w:spacing w:lineRule="auto" w:line="240"/>
        <w:pBdr/>
      </w:pPr>
      <w:r w:rsidR="00000000" w:rsidRPr="00000000" w:rsidDel="00000000">
        <w:rPr>
          <w:rStyle w:val="bold_paragraph_header"/>
          <w:rtl w:val="0"/>
        </w:rPr>
        <w:t xml:space="preserve"/>
      </w:r>
      <w:r w:rsidR="00000000" w:rsidRPr="00000000" w:rsidDel="00000000">
        <w:rPr>
          <w:rtl w:val="0"/>
        </w:rPr>
        <w:t xml:space="preserve">Noteikumu projekts "Eiropas Savienības Atveseļošanas un noturības mehānisma plāna 3.1. reformu un investīciju virziena "Reģionālā politika"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otrās kārtas īstenošanas un uzraudzības noteikumi"</w:t>
      </w:r>
    </w:p>
    <w:p w:rsidP="00000000" w:rsidRDefault="00000000" w:rsidR="00000000" w:rsidRPr="00000000" w:rsidDel="00000000">
      <w:pPr>
        <w:contextualSpacing w:val="0"/>
        <w:jc w:val="left"/>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22-TA-3345</w:t>
      </w:r>
    </w:p>
    <w:p w:rsidP="00000000" w:rsidRDefault="00000000" w:rsidR="00000000" w:rsidRPr="00000000" w:rsidDel="00000000">
      <w:pPr>
        <w:contextualSpacing w:val="0"/>
        <w:jc w:val="center"/>
        <w:spacing w:after="240" w:afterAutospacing="0"/>
        <w:spacing w:lineRule="auto" w:line="240"/>
        <w:pBdr>
          <w:top w:color="000000" w:sz="10" w:val="single" w:space="1"/>
        </w:pBdr>
        <w:rPr>
          <w:sz w:val="24"/>
          <w:rtl w:val="0"/>
        </w:rPr>
      </w:pPr>
      <w:r w:rsidR="00000000" w:rsidRPr="00000000" w:rsidDel="00000000">
        <w:rPr>
          <w:sz w:val="24"/>
          <w:rtl w:val="0"/>
        </w:rPr>
        <w:t xml:space="preserve"/>
      </w:r>
      <w:r w:rsidR="00000000" w:rsidRPr="00000000" w:rsidDel="00000000">
        <w:rPr>
          <w:sz w:val="24"/>
          <w:rtl w:val="0"/>
        </w:rPr>
        <w:t xml:space="preserve">(</w:t>
      </w:r>
      <w:r w:rsidR="00000000" w:rsidRPr="00000000" w:rsidDel="00000000">
        <w:rPr>
          <w:sz w:val="24"/>
          <w:rtl w:val="0"/>
        </w:rPr>
        <w:t xml:space="preserve">E. Siliņa, I. Alliks, M. Sprindžuks, I. Indriksone, A. K. Kariņš)</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Atļaut Labklājības ministrijai palielināt Atveseļošanas un noturības mehānisma plāna 3.1.2. reformas "Sociālo un nodarbinātības pakalpojumu pieejamība minimālo ienākumu reformas atbalstam" 3.1.2.3.i. investīcijas "Ilgstošas sociālās aprūpes pakalpojuma noturība un nepārtrauktība: jaunu ģimeniskai videi pietuvinātu aprūpes pakalpojumu sniedzēju attīstība pensijas vecuma personām" (turpmāk–3.1.2.3.i. investīcija) otrās kārtas īstenošanai nepieciešamo papildu finansējumu 3 903 507 </w:t>
      </w:r>
      <w:r w:rsidR="00000000" w:rsidRPr="00000000" w:rsidDel="00000000">
        <w:rPr>
          <w:i w:val="1"/>
          <w:rtl w:val="0"/>
        </w:rPr>
        <w:t xml:space="preserve">euro </w:t>
      </w:r>
      <w:r w:rsidR="00000000" w:rsidRPr="00000000" w:rsidDel="00000000">
        <w:rPr>
          <w:rtl w:val="0"/>
        </w:rPr>
        <w:t xml:space="preserve">apmērā, ja saņemts pozitīvs Eiropas Komisijas viedoklis par iesniegtajiem Latvijas Atveseļošanas un noturības mehānisma plāna grozījumiem attiecībā uz konkrētajām investīcijām pirms galīgā Eiropas Komisijas lēmuma pieņemšanas, izdevumus priekšfinansējot no valsts budžeta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Atbalstīt 3.1.2.3.i. investīcijas otrajā kārtā šādu mērķrādītāju noteikšanu un to sasniegšanu šādos termiņos: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2023. gada 30. jūnijam – 18 līgumu noslēgšana ar pašvaldībām par projektu īstenošanu (pēc Eiropas Komisijas lēmuma par Atveseļošanas un noturības mehānisma plāna grozījumu priekšlikumiem – 17 līgumu noslēgšana ar pašvaldībām par projektu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2024. gada 31. decembrim (pēc Eiropas Komisijas lēmuma par Atveseļošanas un noturības mehānisma plāna grozījumu priekšlikumiem – līdz 2026. gada 30. jūnijam) – jaunu vietu nodrošināšana 852 senioriem tādu ilgtermiņa aprūpes pakalpojumu saņemšanai, kas pietuvināti ģimeniskai videi.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Labklājības ministrijai iesniegt izskatīšanai Ministru kabinetā priekšlikumus rīcībai gadījumā, ja netiek saņemts pozitīvs Eiropas Komisijas lēmums par Atveseļošanas un noturības mehānisma plāna grozījumu priekšlikumiem, kas paredz mērķrādītāju sasniegšanu šī protokollēmuma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noteiktajos termiņos un protokollēmuma </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apakšpunktā</w:t>
      </w:r>
      <w:r w:rsidR="00000000" w:rsidRPr="00000000" w:rsidDel="00000000">
        <w:rPr>
          <w:rtl w:val="0"/>
        </w:rPr>
        <w:t xml:space="preserve"> minētā mērķrādītāja vērtības samazināšanu.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ministrijai likumprojekta par valsts budžetu 2024. gadam un budžeta ietvaru 2024., 2025. un 2026. gadam izstrādes procesā,  izvērtējot  valsts budžeta iespējas, izstrādāt priekšlikumu pašvaldību  aizņemšanās iespējām  3.1.2.3.i. investīcijas otrās kārtas projekta īstenošanai, tajā skaitā  papildu  pašvaldības izmaksām līdz 10 procentiem no projekta Atveseļošanas fonda finansējuma.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Valsts kancelejas direktors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J. Citskovskis</w:t>
            </w:r>
          </w:p>
        </w:tc>
      </w:tr>
    </w:tbl>
    <w:p w:rsidP="00000000" w:rsidRDefault="00000000" w:rsidR="00000000" w:rsidRPr="00000000" w:rsidDel="00000000">
      <w:pPr>
        <w:contextualSpacing w:val="0"/>
        <w:ind w:left="705"/>
        <w:spacing w:before="720" w:beforeAutospacing="0"/>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22-TA-3345</w:t>
    </w:r>
    <w:r>
      <w:br/>
    </w:r>
    <w:r w:rsidR="00000000" w:rsidRPr="00000000" w:rsidDel="00000000">
      <w:rPr>
        <w:rtl w:val="0"/>
      </w:rPr>
      <w:t xml:space="preserve">Izdrukāts 29.07.2026. 22.02 - 2.0.VK Protokollēmums</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1019174" cy="952500"/>
          <wp:effectExtent t="0" b="0" r="0" l="0"/>
          <wp:docPr id="1" name="media/image1.png"/>
          <a:graphic>
            <a:graphicData uri="http://schemas.openxmlformats.org/drawingml/2006/picture">
              <pic:pic>
                <pic:nvPicPr>
                  <pic:cNvPr id="1" name="media/image1.png"/>
                  <pic:cNvPicPr/>
                </pic:nvPicPr>
                <pic:blipFill>
                  <a:blip r:embed="rId1"/>
                  <a:srcRect/>
                  <a:stretch>
                    <a:fillRect/>
                  </a:stretch>
                </pic:blipFill>
                <pic:spPr>
                  <a:xfrm>
                    <a:ext cx="1019174" cy="952500"/>
                  </a:xfrm>
                  <a:prstGeom prst="rect"/>
                  <a:ln/>
                </pic:spPr>
              </pic:pic>
            </a:graphicData>
          </a:graphic>
        </wp:inline>
      </w:drawing>
    </w:r>
    <w:r w:rsidR="00000000" w:rsidRPr="00000000" w:rsidDel="00000000">
      <w:rPr>
        <w:rtl w:val="0"/>
      </w:rPr>
    </w:r>
  </w:p>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22-TA-3345</w:t>
    </w:r>
    <w:r>
      <w:br/>
    </w:r>
    <w:r w:rsidR="00000000" w:rsidRPr="00000000" w:rsidDel="00000000">
      <w:rPr>
        <w:rtl w:val="0"/>
      </w:rPr>
      <w:t xml:space="preserve">Izdrukāts 29.07.2026. 22.02 - 2.0.VK Protokollēmums</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word/_rels/header2.xml.rels><?xml version="1.0" encoding="UTF-8" standalone="yes"?>
<Relationships xmlns="http://schemas.openxmlformats.org/package/2006/relationships"><Relationship Target="media/image1.png" Type="http://schemas.openxmlformats.org/officeDocument/2006/relationships/image" Id="rId1"/></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protokollēmums_22-TA-3345.docx</dc:title>
</cp:coreProperties>
</file>

<file path=docProps/custom.xml><?xml version="1.0" encoding="utf-8"?>
<Properties xmlns="http://schemas.openxmlformats.org/officeDocument/2006/custom-properties" xmlns:vt="http://schemas.openxmlformats.org/officeDocument/2006/docPropsVTypes"/>
</file>