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05.03.2024. noteikumu Nr. 153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"Ilgtspējīga transporta sistēma" 6.1.1. specifiskā atbalsta mērķi "Palielināt lielo ostu drošības līmeni un uzlabot transporta tīkla mobilitāti"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drošības līmeni ostās un novērst problemātisko punktu radītos ierobežojumus Eiropas transporta tīkla infrastruktūras darbībā.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visu transporta veidu satiksmes dalībnieki, kravu un pasažieru pārvadātāji.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sasniedzamais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rekonstruēto hidrotehnisko būvju skaits – 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rekonstruēto ielu un dzelzceļa garums – 12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sasniedzamie 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laikapstākļu ietekmētās kuģu dīkstāves reidā vidēji gadā – 70 stundas;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sliktā un ļoti sliktā stāvoklī esošu pievadceļu īpatsvars samazināts no 62 % līdz 47 %;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33 802 200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314)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Specifiskajam atbalstam plānotais kopējais attiecināmais finansējums ir 83 665 358 </w:t>
      </w:r>
      <w:r w:rsidR="00000000" w:rsidRPr="00000000" w:rsidDel="00000000">
        <w:rPr>
          <w:i w:val="1"/>
          <w:rtl w:val="0"/>
        </w:rPr>
        <w:t xml:space="preserve">euro</w:t>
      </w:r>
      <w:r w:rsidR="00000000" w:rsidRPr="00000000" w:rsidDel="00000000">
        <w:rPr>
          <w:rtl w:val="0"/>
        </w:rPr>
        <w:t xml:space="preserve">, tai skaitā Kohēzijas fonda finansējums – 71 113 776 </w:t>
      </w:r>
      <w:r w:rsidR="00000000" w:rsidRPr="00000000" w:rsidDel="00000000">
        <w:rPr>
          <w:i w:val="1"/>
          <w:rtl w:val="0"/>
        </w:rPr>
        <w:t xml:space="preserve">euro</w:t>
      </w:r>
      <w:r w:rsidR="00000000" w:rsidRPr="00000000" w:rsidDel="00000000">
        <w:rPr>
          <w:rtl w:val="0"/>
        </w:rPr>
        <w:t xml:space="preserve"> un privātais finansējums – vismaz 12 551 582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plānots sniegt saimnieciskās darbības veikšanai un tas ir kvalificējams kā komercdarbības atbalsts, atbalstu sniedz saskaņā ar Eiropas Komisijas lēmumu par atbalsta saderību ar Eiropas Savienības iekšējo tirgu vai Komisijas 2014. gada 17. jūnija Regulas (ES) Nr. 651/2014, ar ko noteiktas atbalsta kategorijas atzīst par saderīgām ar iekšējo tirgu, piemērojot Līguma 107. un 108. pantu (turpmāk – Regula Nr. 651/2014), 56."b"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atbalsts projektam nav uzskatāms par komercdarbības atbalstu, maksimālais attiecināmais Kohēzijas fonda finansējuma apmērs ir 85 % no projektam plānotā kopējā attiecināmā finansējuma. Ja atbalsts tiek sniegts saskaņā ar Regulas Nr. 651/2014 nosacījumiem, publiskais finansējums, tai skaitā maksimālais attiecināmais Kohēzijas fonda finansējums, kopā nepārsniedz starpību starp attiecināmajām izmaksām un pamatdarbības peļņu, kuru atskaita no attiecināmajām izmaksām saskaņā ar pamatotām prognozēm vai izmanto atgūšanas mehānismu, vienlaikus ievērojot Regulas Nr. 651/2014 56."b" panta 5. un 6. punktā noteikto atbalsta intensitātes ierobežojumu. Ja plānotais atbalsts, piemērojot Regulas Nr. 651/2014 nosacījumus, nepārsniedz 5 miljonus </w:t>
      </w:r>
      <w:r w:rsidR="00000000" w:rsidRPr="00000000" w:rsidDel="00000000">
        <w:rPr>
          <w:i w:val="1"/>
          <w:rtl w:val="0"/>
        </w:rPr>
        <w:t xml:space="preserve">euro</w:t>
      </w:r>
      <w:r w:rsidR="00000000" w:rsidRPr="00000000" w:rsidDel="00000000">
        <w:rPr>
          <w:rtl w:val="0"/>
        </w:rPr>
        <w:t xml:space="preserve">, atbalsta maksimālo summu var noteikt 80 % apmērā no attiecināmajām izmaksām. Ja atbalsts projektam tiek sniegts saskaņā ar Līguma par Eiropas Savienības darbību 107. un 108. pantu, maksimālais publiskais finansējums nepārsniedz Eiropas Komisijas lēmumā noteikto.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plānotais maksimālais Kohēzijas fonda finansējums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brīvostas pārvaldei –  6 505 360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Ventspils brīvostas pārvaldei – 32 084 786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speciālās ekonomiskās zonas pārvaldei – 32 523 630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314 redakcijā, kas grozīta ar MK 11.04.2023. noteikumiem Nr. 189; MK 12.12.2023. noteikumiem Nr. 738)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Pieejamais kopējais attiecināmais finansējums līdz 2018. gada 31. decembrim, lai slēgtu līgumus par projektu īstenošanu, ir 98 573 116 </w:t>
      </w:r>
      <w:r w:rsidR="00000000" w:rsidRPr="00000000" w:rsidDel="00000000">
        <w:rPr>
          <w:i w:val="1"/>
          <w:rtl w:val="0"/>
        </w:rPr>
        <w:t xml:space="preserve">euro</w:t>
      </w:r>
      <w:r w:rsidR="00000000" w:rsidRPr="00000000" w:rsidDel="00000000">
        <w:rPr>
          <w:rtl w:val="0"/>
        </w:rPr>
        <w:t xml:space="preserve">, tai skaitā Kohēzijas fonda finansējums – 83 787 148 </w:t>
      </w:r>
      <w:r w:rsidR="00000000" w:rsidRPr="00000000" w:rsidDel="00000000">
        <w:rPr>
          <w:i w:val="1"/>
          <w:rtl w:val="0"/>
        </w:rPr>
        <w:t xml:space="preserve">euro</w:t>
      </w:r>
      <w:r w:rsidR="00000000" w:rsidRPr="00000000" w:rsidDel="00000000">
        <w:rPr>
          <w:rtl w:val="0"/>
        </w:rPr>
        <w:t xml:space="preserve"> un privātais finansējums – ne mazāk kā 14 785 968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saņēmējiem līdz 2018. gada 31. decembrim pieejamais maksimālais Kohēzijas fonda finansējums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brīvostas pārvaldei – 23 175 842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Ventspils brīvostas pārvaldei – 30 305 653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speciālās ekonomiskās zonas pārvaldei – 30 305 653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Atbildīgā iestāde pēc Eiropas Komisijas lēmuma par snieguma ietvara izpildi vai Ministru kabineta lēmuma par priekšfinansētās snieguma rezerves piešķiršanu var ierosināt sadarbības iestādei palielināt finansējuma saņēmējam pieejamo attiecināmo finansējumu līdz šo noteikumu </w:t>
      </w:r>
      <w:r w:rsidR="00000000" w:rsidRPr="00000000" w:rsidDel="00000000">
        <w:rPr>
          <w:rtl w:val="0"/>
        </w:rPr>
        <w:t xml:space="preserve">9.</w:t>
      </w:r>
      <w:r w:rsidR="00000000" w:rsidRPr="00000000" w:rsidDel="00000000">
        <w:rPr>
          <w:rtl w:val="0"/>
        </w:rPr>
        <w:t xml:space="preserve"> punktā minētajam maksimālajam apmēram, ja sasniegti kopējie 6. prioritārā virziena Kohēzijas fonda rādītāji un projekta individuālie mērķi.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atbalsts projektam ir uzskatāms par komercdarbības atbalstu, projekta iesniedzējs projekta īstenošanai papildus Kohēzijas fonda līdzfinansējumam, kas pieejams līdz 2018. gada 31. decembrim, var plānot piesaistīt citus publiskos līdzekļus snieguma rezerves finansējuma apjomā (piemēram, projekta iesniedzēja aizņēmums Valsts kasē, nepārsniedzot maksimālo publiskā finansējuma apjomu). Civiltiesiskajā līgumā par projekta īstenošanu nosaka projekta īstenošanai nepieciešamā publiskā finansējuma apmēru. Atbilstoši šo noteikumu </w:t>
      </w:r>
      <w:r w:rsidR="00000000" w:rsidRPr="00000000" w:rsidDel="00000000">
        <w:rPr>
          <w:rtl w:val="0"/>
        </w:rPr>
        <w:t xml:space="preserve">10.</w:t>
      </w:r>
      <w:r w:rsidR="00000000" w:rsidRPr="00000000" w:rsidDel="00000000">
        <w:rPr>
          <w:vertAlign w:val="superscript"/>
          <w:rtl w:val="0"/>
        </w:rPr>
        <w:t xml:space="preserve">2 </w:t>
      </w:r>
      <w:r w:rsidR="00000000" w:rsidRPr="00000000" w:rsidDel="00000000">
        <w:rPr>
          <w:rtl w:val="0"/>
        </w:rPr>
        <w:t xml:space="preserve">punktam sadarbības iestāde var palielināt projektam Kohēzijas fonda finansējuma apmēru, nepalielinot sākotnēji noteikto publiskā finansējuma apmēru. Apliecinājumu par citu publisko līdzekļu pieejamību projekta iesniedzējs iesniedz sadarbības iestādē līdz civiltiesiskā līguma noslēgšanai par projekta īstenošanu un Eiropas Savienības fondu līdzfinansējuma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projekts nav kvalificējams kā komercdarbības atbalsts, projekta iesniedzējs projekta īstenošanai papildus Kohēzijas fonda līdzfinansējumam, kas pieejams līdz 2018. gada 31. decembrim, var paredzēt privātos līdzekļus, lai priekšfinansētu snieguma rezervi. Atbilstoši šo noteikumu 10.</w:t>
      </w:r>
      <w:r w:rsidR="00000000" w:rsidRPr="00000000" w:rsidDel="00000000">
        <w:rPr>
          <w:vertAlign w:val="superscript"/>
          <w:rtl w:val="0"/>
        </w:rPr>
        <w:t xml:space="preserve">2</w:t>
      </w:r>
      <w:r w:rsidR="00000000" w:rsidRPr="00000000" w:rsidDel="00000000">
        <w:rPr>
          <w:rtl w:val="0"/>
        </w:rPr>
        <w:t xml:space="preserve"> punktam sadarbības iestāde var palielināt Kohēzijas fonda finansējuma apmēru projektam.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ir Rīgas brīvostas pārvalde, Ventspils brīvostas pārvalde un Liepājas speciālās ekonomiskās zonas pārvalde. Ja projekts tiek apstiprināts, projekta iesniedzējs ir arī finansējuma saņēmējs.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un sadarbības partneris nevar pretendēt uz finansējumu, ja tas atbilst grūtībās nonākuša komersanta statusam un uz to attiecas vismaz viens no Regulas Nr. 651/2014 2. panta 18. punktā minētajiem kritērijiem. Projekta iesniedzējs un sadarbības partneris iesniedz apliecinājumu, ka tas neatbilst normatīvajos aktos noteiktajiem kritērijiem, lai tam pēc kreditoru pieprasījuma varētu pieprasīt maksātnespējas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Rīgas Brīvostas pārvalde kā finansējuma saņēmējs var piesaistīt Rīgas valstspilsētas pašvaldību kā sadarbības partneri, nodrošinot, ka sadarbības partneris projekta ietvaros īsteno tikai tādas darbības, kurām sniegtais atbalsts nav kvalificējams kā komercdarbības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minētais finansējuma saņēmējs un sadarbības partneris divu mēnešu laikā pēc Ministru kabineta noteikumu grozījumu spēkā stāšanās iesniedz sadarbības iestādē ar sadarbības partneri noslēgtu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Sadarbības līgumā nosaka kārtību, kādā tiek īstenota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projekta iesniedzēja un sadarbības partnera sadarbība projekta īstenošanā, ja nepieciešams, iekļaujot arī jautājumus par īpašumtiesību nodošanu, projekta rezultātu uzturēšanu un ilgtspēju, kā arī kārtību, kādā tiek nodrošināta projekta funkcionalitāte līdz 2026. gada 31. oktobrim.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Rīgas valstspilsētas pašvaldība kā sadarbības partneris, iesaistoties projekta īstenošanā atbilstoši šajos noteikumos minētajā sadarbības līgumā ietvertajiem nosacījumiem, var paredzēt nodrošināt valsts budžeta dotāciju tādā apmērā, kāds tika piešķirts Austrumu maģistrāles 2. kārtas projektam ar Ministru kabineta 2021. gada 2. jūnija rīkojumu Nr. 390 "Par atbalstītajiem augstas gatavības pašvaldību investīciju projektiem Covid-19 krīzes pārvarēšanai un ekonomikas atlabšanai, kuriem piešķirams valsts budžeta finansējums", pamatojoties uz </w:t>
      </w:r>
      <w:r w:rsidR="00000000" w:rsidRPr="00000000" w:rsidDel="00000000">
        <w:rPr>
          <w:rtl w:val="0"/>
        </w:rPr>
        <w:t xml:space="preserve">Ministru kabineta 2022. gada 2. novembra sēdes protokollēmuma (prot. Nr. 55 40.§) 8.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saskaņā ar projektu iesniegumu atlases nolikuma prasībām, pievienojot projektam veikto izmaksu un ieguvumu analīzi un projekta iesniedzēja sagatavotu izvērtējumu par komercdarbības atbalstu projektā. Projekta iesniedzējam, veicot izmaksu un ieguvumu analīzi (finanšu analīzi un ekonomisko analīzi), jāievēro, ka projekta ekonomiskā ienesīguma norma ir lielāka par sociālo diskonta likmi un projekta ekonomiskā neto pašreizējā vērtība ir lielāka par nulli. Projekta pārskata periodu (projekta dzīves ciklu) nosaka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Regula Nr. 480/2014), 1.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projektam sniedz saskaņā ar Regulu Nr. 651/2014:</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iesniedzēji, kas darbojas arī Regulas Nr. 651/2014 1. panta 3. punktā noteiktajās nozarēs, nodrošina izmaksu nošķiršanu, lai darbības Regulas Nr. 651/2014 1. panta 3. punktā minētajās nozarēs negūtu labumu no piešķirtā atbalsta;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iesniedzējiem neattiecina Regulas Nr. 651/2014 1. panta 4. punkta "a" apakšpunkta nosacījumus par neizpildītu līdzekļu atgūšanu un 1. panta 4. punkta "c"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projekta iesniedzējiem attiecina Regulas Nr. 651/2014 4. panta 1. punkta "ee" apakšpunktu un 5.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iesniedzēji ievēro Regulas Nr. 651/2014 56."b" panta 7. un 8. punktā noteiktās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valsts atbalstu komercdarbībai sniedz saskaņā ar Regulas Nr. 651/2014 56."b" pantu un ja attiecīgajā projektā vai projekta daļā projekta pārskata periodā (projekta dzīves cikla laikā) ir radusies lielāka peļņa no pamatdarbības, nekā projektā plānots, finansējuma saņēmējs projekta pārskata perioda (projekta dzīves cikla) beigās veic šo noteikumu 15. punktā minētās izmaksu un ieguvumu analīzes pārrēķinu un sadarbības iestādei atmaksā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īstenošanā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molu, viļņlaužu, krasta nostiprinājumu un piestātņu pārbūve un atjaunošana, kas nav iznomātas vai ko nav plānots iznomāt komercdarbībai;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lielo ostu infrastruktūras kompleksam piederošo inženiertīklu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un dzelzceļa pievadceļu un ar tiem saistītās infrastruktūras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ugunsdzēsības un vides aizsardzības prasību ievērošanu saistīto iekārtu iegāde un infrastruktūras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kuģu ceļu uzlabošana, lai paaugstinātu kuģošanas drošību.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314)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projektam sniedz saskaņā ar Regulu Nr. 651/2014, atbalstāmas ir darbības, kas atbilst Regulas Nr. 651/2014 2. panta 157. punktā minētajai ostas infrastruktūras definīcijai un 159. punktā minētajai piekļuves infrastruktūras definīcijai. Atbalstu nesniedz darbībām, kas noteiktas Regulas Nr. 651/2014 1. panta 2. punkta "c" apakšpunktā vai ja izvirzīts 1. panta 2. punkta "d" apakšpunktā minētais nosacījums.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ietvaros saņemto komercdarbības atbalstu saskaņā ar Regulas Nr. 651/2014 8. panta nosacījumiem drīkst kumulēt ar citu komercdarbības atbalstu, tai skaitā ar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nepārsniedzot šo noteikumu </w:t>
      </w:r>
      <w:r w:rsidR="00000000" w:rsidRPr="00000000" w:rsidDel="00000000">
        <w:rPr>
          <w:rtl w:val="0"/>
        </w:rPr>
        <w:t xml:space="preserve">8.</w:t>
      </w:r>
      <w:r w:rsidR="00000000" w:rsidRPr="00000000" w:rsidDel="00000000">
        <w:rPr>
          <w:rtl w:val="0"/>
        </w:rPr>
        <w:t xml:space="preserve"> punktā norādīto maksimālo publiskā finansējuma apmēru, kā arī citā atbalsta programmā, individuālajā atbalsta projektā vai Eiropas Komisijas lēmumā noteikto publiskā atbalsta maksimālo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Specifiskā atbalsta ietvaros plāno tiešās attiecināmās izmaksas, ja tās ir nepieciešamas projektā noteikto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normatīvajos aktos noteiktās piemaksas un nodokļus,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 par 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pamatojošās dokumentācijas sagatavošanas izmaksas, tai skaitā izmaksu un ieguvumu analīzes izstrādes izmaksas, tehniski ekonomiskā pamatojuma izstrāde un ietekmes uz vidi novērtējuma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būvniecības un/vai esošas būves pārbūves vai atjaunošanas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virszemes un pazemes komunikāciju infrastruktūras pārbūves izmaksas – ne vairāk kā 15 procentu no projekta attiecināmo izmaksu kopsummas. Izmaksas attiecināmas tikai tad, ja tiek nodrošināts sertificēta būvinženiera ekspertīzes atzinums, kurā konstatēts, ka, veicot projektā plānotās satiksmes pārvadu, ielu, ceļu, dzelzceļu un ar tiem saistītās infrastruktūras būvniecības vai teritorijas labiekārtošanas darbības, nav iespējams izvairīties no minētās infrastruktūras bojāšanas vai pārbūves un ieguldījumi pārbūvē tiek veikti, nemainot tehniskos parametrus un neradot priekšrocības to īpašniekiem;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drošības aprīkojuma uzstādīšanas un atjaunošanas izmaksas (piemēram, ceļa zīmes, luksofori, signālstabiņi, aizsargbarjeras, gājēju barjeras, vertikālie un horizontālie ceļa apzīmējumi atbilstoši būvprojekta risinājumam) – ne vairāk kā 10 procentu no projekta attiecināmo izmaksu kopsummas;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labiekārtošanas izmaksas atbilstoši būvprojekta risinājumam ir atbalstāmas tādā apmērā, lai izpildītu Latvijas Republikas normatīvajos aktos noteiktās minimālās prasības infrastruktūras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obligāto ugunsdzēsības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vides aizsardzības prasību nodrošināšanai, ciktāl to paredz normatīvo aktu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 (ne vairāk kā 10 procentu no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kuģu ceļu padziļināšanas, paplašināšanas un iztaisnošanas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314)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minētās izmaksas kopā nepārsniedz 10 procentus no projekta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minētās izmaksas kopā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attiecināmās izmaksas, ja tās nav atgūstamas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plāno kā vienu izmaksu pozīciju 15 procentu apmērā no šo noteikumu </w:t>
      </w:r>
      <w:r w:rsidR="00000000" w:rsidRPr="00000000" w:rsidDel="00000000">
        <w:rPr>
          <w:rtl w:val="0"/>
        </w:rPr>
        <w:t xml:space="preserve">17.1.</w:t>
      </w:r>
      <w:r w:rsidR="00000000" w:rsidRPr="00000000" w:rsidDel="00000000">
        <w:rPr>
          <w:rtl w:val="0"/>
        </w:rPr>
        <w:t xml:space="preserve"> apakšpunktā noteiktajām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 aprēķina tikai tām izmaksām, kas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Netiešo izmaksu vienoto likmi nepiemēro projektiem, kas kvalificējami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Specifiskā atbalsta ietvaros ir atbalstāma vides prasību integrācija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Specifiskā atbalsta ietvaros ir atbalstāmas vides un informācijas pieejamības nodrošināšanas izmaksas atbilstoši būvprojekta risinājumam.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ir atbalstāmas personu ar invaliditāti intereses pārstāvošo nevalstisko organizāciju ekspertu konsultācijas, tās paredzot projektēšanas vai būvniecības līgumu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Specifiskā atbalsta atbalstāmo darbību ietvaros radušās izmaksas var uzskatīt par attiecināmām finansēšanai no Kohēzijas fonda, ja tās atbilst šo noteikumu </w:t>
      </w:r>
      <w:r w:rsidR="00000000" w:rsidRPr="00000000" w:rsidDel="00000000">
        <w:rPr>
          <w:rtl w:val="0"/>
        </w:rPr>
        <w:t xml:space="preserve">16.</w:t>
      </w:r>
      <w:r w:rsidR="00000000" w:rsidRPr="00000000" w:rsidDel="00000000">
        <w:rPr>
          <w:rtl w:val="0"/>
        </w:rPr>
        <w:t xml:space="preserve"> punktā minētajām atbalstāmajām darbībām un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noteiktajiem izmaksu apjoma ierobežojumiem, ir radušās ne agrāk kā 2014. gada 1. janvārī un atbalsts projektam nav uzskatāms par komercdarbības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atbalsts projektam uzskatāms par komercdarbības atbalstu un tas tiek sniegts saskaņā ar Regulu Nr. 651/2014, darbu ar projektu var sākt no dienas, kad projekta iesniedzējs ir iesniedzis iesniegumu sadarbības iestādē vai – ja atbalsts tiek kumulēts – kad visas atbalsta sniedzējas iestādes pieņēmušas lēmumu par publiskā finansējuma piešķiršanu, tai skaitā snieguma rezerves priekšfinansēšanu. Šo noteikumu izpratnē par darbu sākumu ir uzskatāmas darbības, kas atbilst Regulas Nr. 651/2014 2. panta 23. apakšpunktā noteiktajam. Ja projekts tiek īstenots saskaņā ar Līguma par Eiropas Savienības darbību 107. un 108. pantu, darbu ar projektu var uzsākt atbilstoši Eiropas Komisijas lēmumam par projekta saderību ar Eiropas Savienības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Specifiskā atbalsta neattiecināmās izmaksas, kuras finansējuma saņēmējs sedz no saviem līdzekļiem,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pārsniedz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minētos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minētas šo noteikumu </w:t>
      </w:r>
      <w:r w:rsidR="00000000" w:rsidRPr="00000000" w:rsidDel="00000000">
        <w:rPr>
          <w:rtl w:val="0"/>
        </w:rPr>
        <w:t xml:space="preserve">17.</w:t>
      </w:r>
      <w:r w:rsidR="00000000" w:rsidRPr="00000000" w:rsidDel="00000000">
        <w:rPr>
          <w:rtl w:val="0"/>
        </w:rPr>
        <w:t xml:space="preserve"> punktā un nav tieši saistītas ar šo noteikumu </w:t>
      </w:r>
      <w:r w:rsidR="00000000" w:rsidRPr="00000000" w:rsidDel="00000000">
        <w:rPr>
          <w:rtl w:val="0"/>
        </w:rPr>
        <w:t xml:space="preserve">16.</w:t>
      </w:r>
      <w:r w:rsidR="00000000" w:rsidRPr="00000000" w:rsidDel="00000000">
        <w:rPr>
          <w:rtl w:val="0"/>
        </w:rPr>
        <w:t xml:space="preserve"> punktā minētajām atbalstāmajām darbībām, bet ir nepieciešamas sekmīgai projekta īstenošanai un mērķa sasniegšanai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atbalsts projektam uzskatāms par komercdarbības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17.1. (neveido pamatlīdzekļu vērtību), 17.2. un 17.3. apakšpunktā minētās izmaksas, kā arī izmaksas, kas attiecas uz darbībām, kuras nav saistītas ar transportu, tostarp uz rūpnieciskās ražošanas iekārtām, kas darbojas ostā, uz birojiem vai veikaliem, kā arī uz ostas būvēm un uz Regulas Nr. 651/2014 56."b" panta 3. punktā minēto aprīkojumu;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visas projekta izmaksas, ja nav ievēroti šo noteikumu </w:t>
      </w:r>
      <w:r w:rsidR="00000000" w:rsidRPr="00000000" w:rsidDel="00000000">
        <w:rPr>
          <w:rtl w:val="0"/>
        </w:rPr>
        <w:t xml:space="preserve">27.</w:t>
      </w:r>
      <w:r w:rsidR="00000000" w:rsidRPr="00000000" w:rsidDel="00000000">
        <w:rPr>
          <w:rtl w:val="0"/>
        </w:rPr>
        <w:t xml:space="preserve"> punktā minētie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31.10.2017. noteikumiem Nr. 649)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ko Kohēzijas fonda projekta ietvaros finansējuma saņēmējs veic pēc 2023. gada 31. decembra, pilnā apmērā tiek segtas no finansējuma saņēmēja vai aizdevuma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rezultātu ilgtspēju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sasniegto rezultātu uzturēšanu un nepieciešamos līdzekļus rezultātu uzturēšanai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w:t>
      </w:r>
      <w:r w:rsidR="00000000" w:rsidRPr="00000000" w:rsidDel="00000000">
        <w:rPr>
          <w:rtl w:val="0"/>
        </w:rPr>
        <w:t xml:space="preserve">svītrots ar MK 31.10.2017. noteikumiem Nr. 649</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projekta specifikai uzkrāj datus par projekta ietekmi uz šo noteikumu </w:t>
      </w:r>
      <w:r w:rsidR="00000000" w:rsidRPr="00000000" w:rsidDel="00000000">
        <w:rPr>
          <w:rtl w:val="0"/>
        </w:rPr>
        <w:t xml:space="preserve">4.</w:t>
      </w:r>
      <w:r w:rsidR="00000000" w:rsidRPr="00000000" w:rsidDel="00000000">
        <w:rPr>
          <w:rtl w:val="0"/>
        </w:rPr>
        <w:t xml:space="preserve"> punktā minētajiem rādītājiem un nodrošina vienotu metodoloģiju rādītāju uzskaitei pirms un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infrastruktūra, kurā paredzēts veikt ieguldījumu, ir projekta iesniedzēja īpašumā vai valdījumā vai arī būvniecības iecere ir saskaņota ar projekta īstenošanai nepieciešamā nekustamā īpašuma īpašnieku atbilstoši Latvijas Republikas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projekta specifikai uzkrāj datus, kas raksturo vides piesārņojuma mazināšanos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kopējo negadījumu skaita samazinājumu divus gadus pēc atbalsta veikšanas ostā, kurā veiktas investīcijas drošības infrastruktūras uzlabošanā;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uzkrāj datus par ostas darbspējas saglabāšanu, ja vēja ātrums ir līdz 14 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katru gadu sagatavo pārskatu par papildinošas saimnieciskās darbības (ja attiecināms) apjomu un  iesniedz to sadarbības iestādē pēc sadarbības iestādes pieprasījuma, kā arī nodrošina visu minēto pārskatu un aprēķinus pamatojošās dokumentācijas pieejamību papildinošas saimnieciskās darbības īstenošanas uzraudzībai.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Kohēzijas fonda finansējuma.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noslēgtā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līgumā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Specifiskā atbalsta ietvaros projektu īsteno saskaņā ar līgumu par projekta īstenošanu, bet ne ilgāk kā līdz 2023. gada 31. decembrim, izņemot šo noteikumu </w:t>
      </w:r>
      <w:r w:rsidR="00000000" w:rsidRPr="00000000" w:rsidDel="00000000">
        <w:rPr>
          <w:rtl w:val="0"/>
        </w:rPr>
        <w:t xml:space="preserve">39.</w:t>
      </w:r>
      <w:r w:rsidR="00000000" w:rsidRPr="00000000" w:rsidDel="00000000">
        <w:rPr>
          <w:rtl w:val="0"/>
        </w:rPr>
        <w:t xml:space="preserve"> punktā minētos gadījumus.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projektam sniedz saskaņā ar </w:t>
      </w:r>
      <w:r w:rsidR="00000000" w:rsidRPr="00000000" w:rsidDel="00000000">
        <w:rPr>
          <w:rtl w:val="0"/>
        </w:rPr>
        <w:t xml:space="preserve">Regulu Nr. 651/2014</w:t>
      </w:r>
      <w:r w:rsidR="00000000" w:rsidRPr="00000000" w:rsidDel="00000000">
        <w:rPr>
          <w:rtl w:val="0"/>
        </w:rPr>
        <w:t xml:space="preserve">, sadarbības iestāde lēmumu pieņem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minētais finansējuma saņēmējs projektu īsteno līdz 2023. gada 31. decembrim, lai saņemtu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paredzēto Kohēzijas fonda finansējumu. Sadarbības partneris nodrošina projekta īstenošanu līdz 2026.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Specifiskā atbalsta īstenošanas vieta ir Rīga, Liepāja un Ventspils.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atbalstu projektam sniedz saskaņā ar Regulu Nr. 651/2014, sadarbības iestāde nodrošina Regulas Nr. 651/2014 9. panta 1. un 4. punktā noteiktos publicitātes pasākumus.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sadarbības iestāde saskaņā ar Regulas Nr. 651/2014 12. panta 1. punkta prasībām ievēro attiecīgās dokumentācijas glabāšanas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atbalstu komercdarbībai sniedz saskaņā ar Regulas Nr. 651/2014 56."b" pantu, finansējuma saņēmējs nodrošina, ka ar valsts atbalstu komercdarbībai saistītā projekta dokumentāciju glabā atbilstoši Regulas Nr. 480/2014 1. pielikumā noteiktajam projekta pārskata periodam (projekta dzīves ciklam).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kas tiek sniegts saskaņā ar Regulas Nr.  </w:t>
      </w:r>
      <w:r w:rsidR="00000000" w:rsidRPr="00000000" w:rsidDel="00000000">
        <w:rPr>
          <w:rtl w:val="0"/>
        </w:rPr>
        <w:t xml:space="preserve">651/2014</w:t>
      </w:r>
      <w:r w:rsidR="00000000" w:rsidRPr="00000000" w:rsidDel="00000000">
        <w:rPr>
          <w:rtl w:val="0"/>
        </w:rPr>
        <w:t xml:space="preserve"> 56."b" pantu, šo noteikumu ietvaros var sniegt, sākot ar 2017. gada 17. maiju.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konstatēts, ka ir pārkāptas šajos noteikumos noteiktās komercdarbības atbalsta kontroles normas, tostarp nosacījumi, kas izriet no </w:t>
      </w:r>
      <w:r w:rsidR="00000000" w:rsidRPr="00000000" w:rsidDel="00000000">
        <w:rPr>
          <w:rtl w:val="0"/>
        </w:rPr>
        <w:t xml:space="preserve">Regulas Nr. 651/2014</w:t>
      </w:r>
      <w:r w:rsidR="00000000" w:rsidRPr="00000000" w:rsidDel="00000000">
        <w:rPr>
          <w:rtl w:val="0"/>
        </w:rPr>
        <w:t xml:space="preserve">, sadarbības iestāde finansējuma saņēmējam uzliek par pienākumu atmaksāt sadarbības iestādei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valsts atbalstu sniedz saskaņā ar Regulas Nr. 651/2014 56."b" pantu, sadarbības iestāde nodrošina projekta uzraudzību Regulas Nr. 480/2014 1. pielikumā noteiktajā projekta pārskata periodā (projekta dzīves ciklā).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Specifiskā atbalsta ieviešanā pieļaujams, ka projekta ietvaros izbūvēto, pārbūvēto vai atjaunoto bez maksas un diskriminācijas publiski pieejamo mobilitātes punktu infrastruktūru vismaz 80 % apjomā no to gada jaudas platības, laika vai finanšu izteiksmē izmanto tādu finansējuma saņēmēja funkciju vai deleģēto pārvaldes uzdevumu veikšanai, kuri nav saistīti ar saimniecisko darbību, un līdz 20 % no gada jaudas papildinošas saimnieciskās darbības īstenošanai, ievērojot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apakšpunkta</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nosacījumus un šādus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ir darbība, kas tieši saistīta ar infrastruktūras ekspluatāciju un kurai nepieciešama vai kura nesaraujami saistīta ar tās galveno ar saimniecisko darbību nesaistīto izmantojumu, patērējot tādu pašu resursu (piemēram, materiālus, aprīkojumu, darbaspēku) kā ar saimniecisko darbību nesaistītajām darbībām. Katru gadu iedalītā kapacitāte platības, laika vai finanšu izteiksmē nepārsniedz 20 % no infrastruktūras kopējās gada kapacitātes;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ir pakalpojumi, kurus galvenokārt izmanto ar saimniecisko darbību nesaistītai pamatdarbībai un kuri neietekmē tirdzniecību starp Eiropas Savienības dalībvalstīm.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Komercdarbības atbalsta kontroles likuma IV vai V nodaļu. Ja projekta ietvaros izbūvētajā, pārbūvētajā vai atjaunotajā bez maksas un diskriminācijas publiski pieejamā infrastruktūrā tiek veiktas darbības, kas nav kvalificējamas kā papildinoša saimnieciskā darbība vai papildpakalpojumi, finansējuma saņēmējam ir pienākums atmaksāt sadarbības iestādei visu projekta ietvaros saņemto nelikumīgo komercdarbības atbalstu kopā ar procentiem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 no infrastruktūras kopējās gada kapacitātes platības, laika vai finanšu izteiksmē;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infrastruktūras dzīves cikla laikā projekta ietvaros izbūvēto, pārbūvēto vai atjaunoto infrastruktūru izmanto šo noteikumu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apakšpunktā minētajām saimnieciska rakstura darbībām,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visam projekta dzīves ciklam izvēlēto kapacitātes aprēķina metodi platības, laika vai finanšu izteiksmē un metodi, kā tiks nodalīta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minēto darbību kapacitāte platības, laika vai finanšu izteiksmē un nodrošināta projekta atbilstība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izvēlētajai metodei ar apliecinošiem dokumentiem nodrošina pierādāmu uzskaiti par šo noteikumu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apakšpunktā minētās papildinošās saimnieciskās darbības ierobežojuma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darbības ir atbalstāmas un minētie nosacījumi ir piemērojami projekta dzīves ciklā.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Sadarbības iestāde  nodrošina veikto investīciju atbilstības uzraudzību atbilstoši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Ja finansējuma saņēmējs konstatē, ka ir pārsniegts šo noteikumu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Sadarbības iestādei ir tiesības no finansējuma saņēmēja pieprasīt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kompetentajām iestādēm vai no trešajām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11.04.2023. noteikumu Nr. 189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minētā finansējuma saņēmēja projektam, kas nebūs pilnībā pabeigts līdz termiņam, kas noteikts Eiropas Parlamenta un Padomes 2013. gada 17. decembra </w:t>
      </w:r>
      <w:r w:rsidR="00000000" w:rsidRPr="00000000" w:rsidDel="00000000">
        <w:rPr>
          <w:rtl w:val="0"/>
        </w:rPr>
        <w:t xml:space="preserve">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65. panta 2. punktā, jābūt pilnībā pabeigtam līdz 2026. gada 31. oktobrim, nodrošinot projekta mērķa sasniegšanu un funkcionalitāti. Izmaksas, kuras Kohēzijas fonda projekta ietvaros finansējuma saņēmējs veic pēc 2023. gada 31. decembra, pilnā apmērā tiek segtas no finansējuma saņēmēja privātā finansējuma, kas ir brīvs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minētajam finansējuma saņēmējam, īstenojot projektu, ir pienākums līdz projekta pabeigšanai un mērķa sasniegšanai katra mēneša pirmajā nedēļā iesniegt izskatīšanai sadarbības iestādē informāciju par projekta ieviešanas progresu, rīcības plāna izpildi, kā arī mērķa sasniegšanas riskiem un rīcības plānu to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minētajos gadījumos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noslēguma maksājuma pieprasījumu par laikposmu līdz 2023. gada 31. decembrim un iesniedz to sadarbības iestādē.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31. oktobrim;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oktobrim iesniedz sadarbības iestādē pamatojošo dokumentāciju par pabeigtajām projekta darbībām un sasniegtajiem iznākuma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iestāde veic maksājumus par šo noteikumu </w:t>
      </w:r>
      <w:r w:rsidR="00000000" w:rsidRPr="00000000" w:rsidDel="00000000">
        <w:rPr>
          <w:rtl w:val="0"/>
        </w:rPr>
        <w:t xml:space="preserve">41.1.</w:t>
      </w:r>
      <w:r w:rsidR="00000000" w:rsidRPr="00000000" w:rsidDel="00000000">
        <w:rPr>
          <w:rtl w:val="0"/>
        </w:rPr>
        <w:t xml:space="preserve"> apakšpunktā</w:t>
      </w:r>
      <w:r w:rsidR="00000000" w:rsidRPr="00000000" w:rsidDel="00000000">
        <w:rPr>
          <w:rtl w:val="0"/>
        </w:rPr>
        <w:t xml:space="preserve"> minētā noslēguma maksājuma pieprasījumā iekļautajiem attiecināmajiem izdevumiem, kas veikti laikposmā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minētajos gadījumos par saviem līdzekļiem nepabeidz visas plānotās projekta darbības un nesasniedz visus plānotos projekta iznākuma rādītājus līdz 2026. gada 31. oktobrim, finansējuma saņēmējs atmaksā sadarbības iestādei projekta ietvaros izmaksāto finansējumu atbilstoši līguma par projekta īstenošanu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24-TA-3018</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24-TA-3018</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noteikumu_konsolidētā_versija_24-TA-3018.docx</dc:title>
</cp:coreProperties>
</file>

<file path=docProps/custom.xml><?xml version="1.0" encoding="utf-8"?>
<Properties xmlns="http://schemas.openxmlformats.org/officeDocument/2006/custom-properties" xmlns:vt="http://schemas.openxmlformats.org/officeDocument/2006/docPropsVTypes"/>
</file>