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ar siltumenerģijas skaitītājiem dzīvokļos, nedzīvojamās telpās vai mākslinieka darbnīcās un karstā ūdens cirkulāciju sadalot uz kvadrātmetriem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dzīvokļos, mākslinieka darbnīcās un nedzīvojamās telpās uzstādītiem individuāliem apkures skaitītājiem: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vasaras sezonas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90700"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9070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viena kvadrātmetra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norēķina periodā maksu par viena kvadrātmetra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norēķina periodā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viena kvadrātmetra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maksu par viena kvadrātmetra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335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906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22872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438275"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562100" cy="295275"/>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noteikumu_konsolidētā_versija_p11_24-TA-729.docx</dc:title>
</cp:coreProperties>
</file>

<file path=docProps/custom.xml><?xml version="1.0" encoding="utf-8"?>
<Properties xmlns="http://schemas.openxmlformats.org/officeDocument/2006/custom-properties" xmlns:vt="http://schemas.openxmlformats.org/officeDocument/2006/docPropsVTypes"/>
</file>