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karstā ūdens nodrošināšana) un siltumenerģiju uzskaitot ar siltumenerģijas skaitītāju dzīvojamās mājas ievadā un siltumenerģijas skaitītājiem dzīvokļos, nedzīvojamās telpās vai mākslinieka darbnīcās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7632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7632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00100"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800100"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619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876300" cy="3619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52400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62125"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47775"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siltumenerģijas skaitītājiem,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1 </w:t>
      </w:r>
      <w:r w:rsidR="00000000" w:rsidRPr="00000000" w:rsidDel="00000000">
        <w:rPr>
          <w:rtl w:val="0"/>
        </w:rPr>
        <w:t xml:space="preserve">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1 </w:t>
      </w:r>
      <w:r w:rsidR="00000000" w:rsidRPr="00000000" w:rsidDel="00000000">
        <w:rPr>
          <w:rtl w:val="0"/>
        </w:rPr>
        <w:t xml:space="preserve">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veidojas starpība starp aprēķināto daudzumu ar dzīvokļos, mākslinieka darbnīcās vai nedzīvojamās telpās uzstādīto skaitītāju uzskaitīto siltumenerģijas daudzumu, tiek veikts siltumenerģijas patēriņa pārrēķins: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525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35255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koplietošanas telpu apkurei un siltumnesēja cirkulācijas nodrošināšanai līdz atsevišķiem dzīvokļiem, mākslinieka darbnīcām vai nedzīvojamām telpām (ja mājas dzīvokļos, mākslinieka darbnīcās vai nedzīvojamās telpās ir uzstādīti individuālie siltumenerģijas skaitītāji)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Norēķina periodā siltumenerģijas patēriņa korekciju, kas attiecināma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52500" cy="3905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952500" cy="39052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koplietošanas telpu apkurei un siltumnesēja cirkulācijas nodrošināšanai līdz atsevišķiem dzīvokļiem, mākslinieka darbnīcām vai nedzīvojamām telpām (ja mājas dzīvokļos, mākslinieka darbnīcās vai nedzīvojamās telpās ir uzstādīti individuālie siltumenerģijas skaitītāji)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05125" cy="3619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2905125" cy="3619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Norēķina periodā maksājamo daļu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8585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85850"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228725"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4382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5621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noteikumu_konsolidētā_versija_p17_24-TA-729.docx</dc:title>
</cp:coreProperties>
</file>

<file path=docProps/custom.xml><?xml version="1.0" encoding="utf-8"?>
<Properties xmlns="http://schemas.openxmlformats.org/officeDocument/2006/custom-properties" xmlns:vt="http://schemas.openxmlformats.org/officeDocument/2006/docPropsVTypes"/>
</file>