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un siltumenerģiju uzskaitot ar siltumenerģijas skaitītāju dzīvojamās mājas ievadā un siltumenerģijas skaitītājiem dzīvokļos, nedzīvojamās telpās vai mākslinieka darbnīcās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7627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9810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veidojas starpība starp mājas siltummezglā uzstādītā siltumenerģijas skaitītāja ar dzīvokļos, nedzīvojamās telpās un mākslinieka darbnīcās uzstādīto skaitītāju uzskaitīto siltumenerģijas daudzumu, tiek veikts siltumenerģijas patēriņa pārrēķins: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2872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Norēķina periodā siltumenerģijas patēriņa korekcijas daudzumu, kas attiecināms uz vienu dzīvokļa, nedzīvojamās telpas vai mākslinieka darbnīcas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9810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05125"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2905125"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Norēķina periodā maksājamo daļu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4770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647700"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Ja dzīvoklis, nedzīvojamā telpa vai mākslinieka darbnīca ir atvienota no dzīvojamās mājas kopējās apkures apgādes sistēmas, dzīvojamās mājas īpašnieks maksā par patērētās siltumenerģijas daļu (piemēram, koplietošanas vajadzībām patērēto siltumenerģiju apkurei, dzīvoklī, nedzīvojamā telpā vai mākslinieka darbnīcā esošajiem dzīvojamās mājas apkures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dzīvojamās mājas īpašnieku lēmumam, kurā ir noteikta no apkures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 dzīvojamās mājas kopējās apkures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2287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38275"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Norēķina periodā siltumenerģijas kopējo daudzumu, kas attiecināms uz dzīvojamās mājas kopējai apkures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621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noteikumu_konsolidētā_versija_p20_24-TA-729.docx</dc:title>
</cp:coreProperties>
</file>

<file path=docProps/custom.xml><?xml version="1.0" encoding="utf-8"?>
<Properties xmlns="http://schemas.openxmlformats.org/officeDocument/2006/custom-properties" xmlns:vt="http://schemas.openxmlformats.org/officeDocument/2006/docPropsVTypes"/>
</file>