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par siltumenerģiju maksājamās daļas noteikšanai, ievērojot ēkas siltumenerģijas patēriņa veidu (apkure, karstā ūdens nodrošināšana, karstā ūdens cirkulācija) un siltumenerģiju uzskaitot ar siltumenerģijas skaitītāju dzīvojamās mājas ievadā un ar siltumenerģijas patēriņa noteikšanas sistēmu, izmantojot tiešsaistē periodiski fiksētus siltumnesēja caurplūdes un apkures cauruļvadu virsmu temperatūras datus, dzīvokļos, nedzīvojamās telpās vai mākslinieka darbnīcās un karstā ūdens cirkulāciju sadalot uz kvadrātmetriem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norēķina periodā apkurei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patērētās siltumenerģijas daudzums norēķina periodā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 </w:t>
      </w:r>
      <w:r w:rsidR="00000000" w:rsidRPr="00000000" w:rsidDel="00000000">
        <w:rPr>
          <w:rtl w:val="0"/>
        </w:rPr>
        <w:t xml:space="preserve">– ar siltumenerģijas skaitītāju norēķina periodā uzskaitītais kopējais siltumenerģijas patēriņš (MWh) dzīvojamās mājas ievadā;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(euro/MWh)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Norēķina periodā apkurei patērētās siltumenerģijas daudzumu nosaka, pamatojoties uz dzīvokļos, mākslinieka darbnīcās un nedzīvojamās telpās uzstādītiem siltumenerģijas patēriņa noteikšanas sistēmas sensoriem, izmantojot tiešsaistē periodiski fiksētus siltumnesēja caurplūdes un apkures cauruļvadu virsmu temperatūras datus: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71525"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771525"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patērētās siltumenerģijas daudzums (MWh)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(MWh), kas uzskaitīts ar dzīvokļos, mākslinieka darbnīcās un nedzīvojamās telpās uzstādītiem siltumenerģijas patēriņa noteikšanas sistēmas sensoriem, izmantojot tiešsaistē periodiski fiksētus siltumnesēja caurplūdes un apkures cauruļvadu virsmu temperatūras datus.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981075" cy="2952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981075" cy="29527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 </w:t>
      </w:r>
      <w:r w:rsidR="00000000" w:rsidRPr="00000000" w:rsidDel="00000000">
        <w:rPr>
          <w:rtl w:val="0"/>
        </w:rPr>
        <w:t xml:space="preserve">– apkurei patērētās siltumenerģijas daudzums (MWh), kas uzskaitīts ar dzīvokļos, mākslinieka darbnīcās un nedzīvojamās telpās uzstādītiem siltumenerģijas patēriņa noteikšanas sistēmas sensoriem, izmantojot tiešsaistē periodiski fiksētus siltumnesēja caurplūdes un apkures cauruļvadu virsmu temperatūras datus;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(MWh), kas uzskaitīts ar siltumenerģijas patēriņa noteikšanas sistēmu, izmantojot tiešsaistē periodiski fiksētus siltumnesēja caurplūdes un apkures cauruļvadu virsmu temperatūras datus.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3.¹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pielietojot siltumenerģijas patēriņa noteikšanas sistēmu, izmantojot tiešsaistē periodiski fiksētus siltumnesēja caurplūdes un apkures cauruļvadu virsmu temperatūras datus, nosaka vienā no šādiem veidiem: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3.¹ 1. saskaņā ar šo noteikumu 21. pielikumu;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3.¹ 2. neatkarīgs eksperts saskaņā ar standartu LVS EN 834+AC:2021 "Siltumenerģijas patēriņa noteicēji dzīvokļa apsildes radiatoriem. Ierīces ar elektroenerģijas avotu".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047749"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047749"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(euro)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(MWh), kas uzskaitīts, izmantojot siltumenerģijas patēriņa noteikšanas sistēmu, izmantojot tiešsaistē periodiski fiksētus siltumnesēja caurplūdes un apkures cauruļvadu virsmu temperatūras datus;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(euro/MWh)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476375" cy="2857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476375" cy="2857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(MWh) vasaras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(MWh/m³) vasaras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vasaras sezonas norēķina periodā patērētā aukstā ūdens kopējais apjoms karstā ūdens patēriņam siltummainī (m³);</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28775" cy="35242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628775" cy="35242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k.ū.vas.</w:t>
      </w:r>
      <w:r w:rsidR="00000000" w:rsidRPr="00000000" w:rsidDel="00000000">
        <w:rPr>
          <w:rtl w:val="0"/>
        </w:rPr>
        <w:t xml:space="preserve"> – uzsildītā ūdens temperatūra (°C) vasaras sezonas norēķina periodā pēc karstā ūdens siltummaiņa;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a.ū.vas.</w:t>
      </w:r>
      <w:r w:rsidR="00000000" w:rsidRPr="00000000" w:rsidDel="00000000">
        <w:rPr>
          <w:rtl w:val="0"/>
        </w:rPr>
        <w:t xml:space="preserve"> – aukstā ūdens temperatūra (°C) vasaras sezonas norēķina periodā pirms karstā ūdens siltummaiņa.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95425"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495425" cy="29527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(MWh) apkures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norēķina periodā patērētās siltumenerģijas daudzums (MWh/m³) apkures sezonas;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(m³) karstā ūdens patēriņam siltummainī.</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657350" cy="361950"/>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(°C)apkures sezonas norēķina periodā pēc karstā ūdens siltummaiņa;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(°C) apkures sezonas norēķina periodā pirms karstā ūdens siltummaiņa.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241935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 </w:t>
      </w:r>
      <w:r w:rsidR="00000000" w:rsidRPr="00000000" w:rsidDel="00000000">
        <w:rPr>
          <w:rtl w:val="0"/>
        </w:rPr>
        <w:t xml:space="preserve">– pārrēķinātais karstā ūdens apjoms (m³) dzīvoklim, mākslinieka darbnīcai vai nedzīvojamai telpai, ja veidojas ūdens starpība starp skaitītāja rādījumu pirms siltummaiņa un dzīvokļos, mākslinieka darbnīcās un nedzīvojamās telpās ar skaitītājiem noteikto ūdens patēriņu;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(m³) dzīvoklī, mākslinieka darbnīcā vai nedzīvojamā telpā, kas uzskaitīts ar ūdens skaitītāju dzīvojamās mājas īpašumā;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starpība (m³);</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(m³)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52600" cy="29527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752600" cy="29527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(euro) par norēķina periodā patērēto karsto ūdeni;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(m³) dzīvoklim, mākslinieka darbnīcai vai nedzīvojamai telpai, ja veidojas ūdens starpība starp skaitītāja rādījumu pirms siltummaiņa un dzīvokļos, mākslinieka darbnīcās un nedzīvojamās telpās ar skaitītājiem noteikto ūdens patēriņu;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(MWh/m³) karstā ūdens patēriņam, ko lieto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(euro/MWh)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 Apkures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781175"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781175"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(MWh) dzīvojamās mājas ievadā;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(MWh), kas dzīvokļos, mākslinieka darbnīcās un nedzīvojamās telpās uzskaitīts ar siltumenerģijas patēriņa noteikšanas sistēmu, izmantojot tiešsaistē periodiski fiksētus siltumnesēja caurplūdes un apkures cauruļvadu virsmu temperatūras datus;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10.2. mājas kopējo platību, uz kuru attiecināma karstā ūdens cirkulācija,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028700"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 </w:t>
      </w:r>
      <w:r w:rsidR="00000000" w:rsidRPr="00000000" w:rsidDel="00000000">
        <w:rPr>
          <w:rtl w:val="0"/>
        </w:rPr>
        <w:t xml:space="preserve">– mājas kopējā apkurināmā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vertAlign w:val="subscript"/>
          <w:rtl w:val="0"/>
        </w:rPr>
        <w:t xml:space="preserve">.</w:t>
      </w:r>
      <w:r w:rsidR="00000000" w:rsidRPr="00000000" w:rsidDel="00000000">
        <w:rPr>
          <w:rtl w:val="0"/>
        </w:rPr>
        <w:t xml:space="preserve"> – mājas dzīvokļu kopējā iekštelpu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vertAlign w:val="subscript"/>
          <w:rtl w:val="0"/>
        </w:rPr>
        <w:t xml:space="preserve">.</w:t>
      </w:r>
      <w:r w:rsidR="00000000" w:rsidRPr="00000000" w:rsidDel="00000000">
        <w:rPr>
          <w:rtl w:val="0"/>
        </w:rPr>
        <w:t xml:space="preserve"> – mājas nedzīvojamo telpu vai mākslinieka darbnīcu kopējā iekštelpu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10.3. viena kvadrātmetra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666750" cy="381000"/>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666750" cy="381000"/>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10.4. norēķina periodā maksu par viena kvadrātmetra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990599" cy="285750"/>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990599" cy="285750"/>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norēķina periodā karstā ūdens cirkulāciju (euro/m²);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(euro/MWh)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10.5. norēķina periodā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962150"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962150" cy="29527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karstā ūdens cirkulāciju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norēķina periodā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 </w:t>
      </w:r>
      <w:r w:rsidR="00000000" w:rsidRPr="00000000" w:rsidDel="00000000">
        <w:rPr>
          <w:rtl w:val="0"/>
        </w:rPr>
        <w:t xml:space="preserve">– konkrētā dzīvokļa iekštelpu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karstā ūdens cirkulāciju norēķina periodā (euro/m²).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Vasaras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47775"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247775" cy="295275"/>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dzīvojamās mājas ievadā ar siltumenerģijas skaitītāju norēķina periodā uzskaitītais kopējais siltumenerģijas patēriņš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(MWh) vasaras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maksu par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000125" cy="285750"/>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000125" cy="285750"/>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kopējo karstā ūdens cirkulāciju norēķina periodā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(euro/MWh)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11.3. viena kvadrātmetra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666750" cy="381000"/>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666750" cy="381000"/>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11.4. maksu par viena kvadrātmetra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990599" cy="285750"/>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990599" cy="285750"/>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karstā ūdens cirkulāciju norēķina periodā (euro/m²);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(euro/MWh)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11.5.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933575" cy="29527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933575" cy="295275"/>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(euro) par karstā ūdens cirkulāciju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karstā ūdens cirkulāciju norēķina periodā (euro/m²).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Dzīvojamās mājas īpašnieks sedz izdevumus par karstā ūdens cirkulācijai patērētās siltumenerģijas daudzumu, arī ja: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12.1.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12.2. dzīvoklī, mākslinieka darbnīcā vai nedzīvojamā telpā norēķina periodā ir demontēts dvieļu žāvētājs.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90675" cy="295275"/>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1590675" cy="295275"/>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vertAlign w:val="subscript"/>
          <w:rtl w:val="0"/>
        </w:rPr>
        <w:t xml:space="preserve">.</w:t>
      </w:r>
      <w:r w:rsidR="00000000" w:rsidRPr="00000000" w:rsidDel="00000000">
        <w:rPr>
          <w:rtl w:val="0"/>
        </w:rPr>
        <w:t xml:space="preserve"> – maksājamā daļa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karsto ūdeni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karstā ūdens cirkulāciju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norēķina periodā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 Aprēķināto daļu no ēkas kopējā siltumenerģijas patēriņa norēķina periodā nosaka atbilstoši: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15.1. dzīvojamās mājas īpašnieku lēmumam, kurā ir noteikta no apkures un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15.2. neatkarīga eksperta veiktajam aprēķinam.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1228725" cy="295275"/>
                    </a:xfrm>
                    <a:prstGeom prst="rect"/>
                    <a:ln/>
                  </pic:spPr>
                </pic:pic>
              </a:graphicData>
            </a:graphic>
          </wp:inline>
        </w:drawing>
      </w:r>
      <w:r w:rsidR="00000000" w:rsidRPr="00000000" w:rsidDel="00000000">
        <w:rPr>
          <w:rtl w:val="0"/>
        </w:rPr>
        <w:t xml:space="preserve">  (23)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darbnīcai un nedzīvojamai telpai, ko nosaka neatkarīgs eksperts vai dzīvojamās mājas īpašnieki, ievērojot, ka 0 &lt; a&lt; 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 </w:t>
      </w:r>
      <w:r w:rsidR="00000000" w:rsidRPr="00000000" w:rsidDel="00000000">
        <w:rPr>
          <w:rtl w:val="0"/>
        </w:rPr>
        <w:t xml:space="preserve">– dzīvojamās mājas ievadā ar siltumenerģijas skaitītāju norēķina periodā uzskaitītais kopējais siltumenerģijas patēriņš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17.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438275" cy="295275"/>
            <wp:effectExtent t="0" b="0" r="0" l="0"/>
            <wp:docPr id="32" name="media/image32.png"/>
            <a:graphic>
              <a:graphicData uri="http://schemas.openxmlformats.org/drawingml/2006/picture">
                <pic:pic>
                  <pic:nvPicPr>
                    <pic:cNvPr id="32" name="media/image32.png"/>
                    <pic:cNvPicPr/>
                  </pic:nvPicPr>
                  <pic:blipFill>
                    <a:blip r:embed="rId32"/>
                    <a:srcRect/>
                    <a:stretch>
                      <a:fillRect/>
                    </a:stretch>
                  </pic:blipFill>
                  <pic:spPr>
                    <a:xfrm>
                      <a:ext cx="1438275" cy="295275"/>
                    </a:xfrm>
                    <a:prstGeom prst="rect"/>
                    <a:ln/>
                  </pic:spPr>
                </pic:pic>
              </a:graphicData>
            </a:graphic>
          </wp:inline>
        </w:drawing>
      </w:r>
      <w:r w:rsidR="00000000" w:rsidRPr="00000000" w:rsidDel="00000000">
        <w:rPr>
          <w:rtl w:val="0"/>
        </w:rPr>
        <w:t xml:space="preserve">  (24)</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(euro) par siltumapgādi dzīvoklim, nedzīvojamai telpai vai mākslinieka darbnīcai, kas atvienota no mājas kopējās apkures un karstā ūdens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un karstā ūdens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(euro/MWh)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33" name="media/image33.png"/>
            <a:graphic>
              <a:graphicData uri="http://schemas.openxmlformats.org/drawingml/2006/picture">
                <pic:pic>
                  <pic:nvPicPr>
                    <pic:cNvPr id="33" name="media/image33.png"/>
                    <pic:cNvPicPr/>
                  </pic:nvPicPr>
                  <pic:blipFill>
                    <a:blip r:embed="rId33"/>
                    <a:srcRect/>
                    <a:stretch>
                      <a:fillRect/>
                    </a:stretch>
                  </pic:blipFill>
                  <pic:spPr>
                    <a:xfrm>
                      <a:ext cx="1562100" cy="295275"/>
                    </a:xfrm>
                    <a:prstGeom prst="rect"/>
                    <a:ln/>
                  </pic:spPr>
                </pic:pic>
              </a:graphicData>
            </a:graphic>
          </wp:inline>
        </w:drawing>
      </w:r>
      <w:r w:rsidR="00000000" w:rsidRPr="00000000" w:rsidDel="00000000">
        <w:rPr>
          <w:rtl w:val="0"/>
        </w:rPr>
        <w:t xml:space="preserve">  (25)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vertAlign w:val="subscript"/>
          <w:rtl w:val="0"/>
        </w:rPr>
        <w:t xml:space="preserve">.</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 </w:t>
      </w:r>
      <w:r w:rsidR="00000000" w:rsidRPr="00000000" w:rsidDel="00000000">
        <w:rPr>
          <w:rtl w:val="0"/>
        </w:rPr>
        <w:t xml:space="preserve">– dzīvojamās mājas ievadā ar siltumenerģijas skaitītāju norēķina periodā uzskaitītais kopējais siltumenerģijas patēriņš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norēķina periodā patērētās siltumenerģijas daudzums (MWh) atbilstoši neatkarīga eksperta veiktajam aprēķinam vai dzīvojamās mājas īpašnieku lēmumam ēkas dzīvoklim, mākslinieka darbnīcai vai nedzīvojamai telpai, kas atvienota no mājas kopējās apkures un karstā ūdens apgādes sistēmas.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 Target="media/image32.png" Type="http://schemas.openxmlformats.org/officeDocument/2006/relationships/image" Id="rId32"/><Relationship Target="media/image33.png" Type="http://schemas.openxmlformats.org/officeDocument/2006/relationships/image" Id="rId33"/></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noteikumu_konsolidētā_versija_p23_24-TA-729.docx</dc:title>
</cp:coreProperties>
</file>

<file path=docProps/custom.xml><?xml version="1.0" encoding="utf-8"?>
<Properties xmlns="http://schemas.openxmlformats.org/officeDocument/2006/custom-properties" xmlns:vt="http://schemas.openxmlformats.org/officeDocument/2006/docPropsVTypes"/>
</file>