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ar siltumenerģijas patēriņa noteikšanas sistēmu, izmantojot tiešsaistē periodiski fiksētus siltumnesēja caurplūdes un apkures cauruļvadu virsmu temperatūras datus, dzīvokļos, nedzīvojamās telpās vai mākslinieka darbnīcās, un karstā ūdens cirkulāciju pieņemot kā konstantu vērtību un sadalot to atbilstoši dzīvokļu, nedzīvojamo telpu un mākslinieka darbnīcu skaitam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(MWh),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(euro) par karstā ūdens cirkulāciju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(MWh),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Konstanto vērtību, kas minēta šīs metodikas 3. un 4. punktā,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dzīvoklis, mākslinieka darbnīca vai nedzīvojamā telpa ir atvienota no mājas kopējās karstā ūdens padeves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6.3. dzīvoklī, mākslinieka darbnīcā vai nedzīvojamā telpā norēķina periodā ir demontēts dvieļu žāvētājs.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4777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norēķina periodā patērētās siltumenerģijas daudzums vasaras sezonas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(MWh/m³)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(m³) karstā ūdens patēriņam siltummainī.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495425"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(MWh/m³)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(m³) karstā ūdens patēriņam siltummainī;</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 </w:t>
      </w:r>
      <w:r w:rsidR="00000000" w:rsidRPr="00000000" w:rsidDel="00000000">
        <w:rPr>
          <w:rtl w:val="0"/>
        </w:rPr>
        <w:t xml:space="preserve">– uzsildītā ūdens temperatūra (oC)pēc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(oC) pirms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punktu,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 </w:t>
      </w:r>
      <w:r w:rsidR="00000000" w:rsidRPr="00000000" w:rsidDel="00000000">
        <w:rPr>
          <w:rtl w:val="0"/>
        </w:rPr>
        <w:t xml:space="preserve">– pārrēķinātais karstā ūdens apjoms (m³)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(m³)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(m³)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(euro) par patērēto karsto ūdeni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(m³)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9545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6954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 </w:t>
      </w:r>
      <w:r w:rsidR="00000000" w:rsidRPr="00000000" w:rsidDel="00000000">
        <w:rPr>
          <w:rtl w:val="0"/>
        </w:rPr>
        <w:t xml:space="preserve">– karstā ūdens patēriņam (aukstā ūdens uzsildīšanai) patērētās siltumenerģijas daudzums (MWh)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pielietojot siltumenerģijas patēriņa noteikšanas sistēmu, izmantojot tiešsaistē periodiski fiksētus siltumnesēja caurplūdes un apkures cauruļvadu virsmu temperatūras datus,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Ja veidojas starpība starp aprēķināto daudzumu un ar siltumenerģijas patēriņa noteikšanas sistēmu, izmantojot tiešsaistē periodiski fiksētus siltumnesēja caurplūdes un apkures cauruļvadu virsmu temperatūras datus, dzīvokļos, mākslinieka darbnīcās vai nedzīvojamās telpās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3239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239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52500" cy="3905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52500"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2981325"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 </w:t>
      </w:r>
      <w:r w:rsidR="00000000" w:rsidRPr="00000000" w:rsidDel="00000000">
        <w:rPr>
          <w:rtl w:val="0"/>
        </w:rPr>
        <w:t xml:space="preserve">–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906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59067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Aprēķināto daļu no ēkas kopējā siltumenerģijas patēriņa norēķina periodā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22872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4382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(euro)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621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5621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noteikumu_konsolidētā_versija_p25_24-TA-729.docx</dc:title>
</cp:coreProperties>
</file>

<file path=docProps/custom.xml><?xml version="1.0" encoding="utf-8"?>
<Properties xmlns="http://schemas.openxmlformats.org/officeDocument/2006/custom-properties" xmlns:vt="http://schemas.openxmlformats.org/officeDocument/2006/docPropsVTypes"/>
</file>