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11.¹ un 11.²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11.¹ un 11.²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Koplietošanas telpu apkures un karstā ūdens cirkulācijai līdz dzīvokļiem, mākslinieka darbnīcām un nedzīvojamām telpām norēķina periodā patērēto siltumenerģijas daudzuma proporciju pret dzīvokļu, mākslinieka darbnīcu un nedzīvojamo telpu patērētās, ar siltumenerģijas patēriņa noteikšanas sistēmu, izmantojot tiešsaistē periodiski fiksētus siltumnesēja caurplūdes un apkures cauruļvadu virsmu temperatūras datus, uzskaitīto siltumenerģijas daudzumu,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starpība starp aprēķināto daudzumu un ar siltumenerģijas patēriņa noteikšanas sistēmu, izmantojot tiešsaistē periodiski fiksētus siltumnesēja caurplūdes un apkures cauruļvadu virsmu temperatūras datus, dzīvokļos, nedzīvojamās telpās vai mākslinieka darbnīcās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koplietošanas telpu apkurei un siltumnesēja cirkulācijas nodrošināšanai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noteikumu_konsolidētā_versija_p26_24-TA-729.docx</dc:title>
</cp:coreProperties>
</file>

<file path=docProps/custom.xml><?xml version="1.0" encoding="utf-8"?>
<Properties xmlns="http://schemas.openxmlformats.org/officeDocument/2006/custom-properties" xmlns:vt="http://schemas.openxmlformats.org/officeDocument/2006/docPropsVTypes"/>
</file>