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Ja veidojas starpība starp mājas siltummezglā uzstādītā siltumenerģijas skaitītāja ar siltumenerģijas patēriņa noteikšanas sistēmu, izmantojot tiešsaistē periodiski fiksētus siltumnesēja caurplūdes un apkures cauruļvadu virsmu temperatūras datus, dzīvokļos, nedzīvojamās telpās un mākslinieka darbnīcās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 </w:t>
      </w:r>
      <w:r w:rsidR="00000000" w:rsidRPr="00000000" w:rsidDel="00000000">
        <w:rPr>
          <w:rtl w:val="0"/>
        </w:rPr>
        <w:t xml:space="preserve">–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 </w:t>
      </w:r>
      <w:r w:rsidR="00000000" w:rsidRPr="00000000" w:rsidDel="00000000">
        <w:rPr>
          <w:rtl w:val="0"/>
        </w:rPr>
        <w:t xml:space="preserve">–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No dzīvojamās mājas kopējās apkures apgādes sistēmas atvienotā dzīvokļa, nedzīvojamās telpas vai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(euro) par norēķina perioda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 </w:t>
      </w:r>
      <w:r w:rsidR="00000000" w:rsidRPr="00000000" w:rsidDel="00000000">
        <w:rPr>
          <w:rtl w:val="0"/>
        </w:rPr>
        <w:t xml:space="preserve">–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noteikumu_konsolidētā_versija_p27_24-TA-729.docx</dc:title>
</cp:coreProperties>
</file>

<file path=docProps/custom.xml><?xml version="1.0" encoding="utf-8"?>
<Properties xmlns="http://schemas.openxmlformats.org/officeDocument/2006/custom-properties" xmlns:vt="http://schemas.openxmlformats.org/officeDocument/2006/docPropsVTypes"/>
</file>