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karstā ūdens cirkulāciju sadalot proporcionāli platībai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patēriņam vasaras sezonas norēķina periodā aprēķina atbilstoši šīs metodikas 4. punktam, bet apkures sezonas norēķina periodā –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patēriņam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049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bet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1714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1714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Dzīvojamās mājas platību, uz kuru attiecināma apkure (vasaras sezonā –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Viena kvadrātmetra apkurei (vasaras periodā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0572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Maksu par viena kvadrātmetra apkuri (vasaras sezonā –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4382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Maksu par dzīvokļa, mākslinieka darbnīcas vai nedzīvojamās telpas apkuri (vasaras periodā –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33625"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333625"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Nedzīvojamās telpas vai mākslinieka darbnīcas viena kvadrātmetra apkurei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716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716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nedzīvojamās telpas vai mākslinieka darbnīcas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Dzīvokļa viena kvadrātmetra apkurei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95474" cy="3810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95474" cy="38100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apk./cirk.dz.</w:t>
      </w:r>
      <w:r w:rsidR="00000000" w:rsidRPr="00000000" w:rsidDel="00000000">
        <w:rPr>
          <w:rtl w:val="0"/>
        </w:rPr>
        <w:t xml:space="preserve"> – dzīvokļu viena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un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Nedzīvojamo telpu vai mākslinieka darbnīcu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716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716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858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norēķina perioda apkuri un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kopējās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noteikumu_konsolidētā_versija_p2_24-TA-729.docx</dc:title>
</cp:coreProperties>
</file>

<file path=docProps/custom.xml><?xml version="1.0" encoding="utf-8"?>
<Properties xmlns="http://schemas.openxmlformats.org/officeDocument/2006/custom-properties" xmlns:vt="http://schemas.openxmlformats.org/officeDocument/2006/docPropsVTypes"/>
</file>