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siltumenerģijas patēriņa veidu (apkure, karstā ūdens nodrošināšana, karstā ūdens cirkulācija) un siltumenerģiju uzskaitot ar siltumenerģijas skaitītāju dzīvojamās mājas ievadā un karstā ūdens cirkulāciju sadalot uz dzīvojamās ēkas īpašumu skaitu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patēriņam vasaras sezonas norēķina periodā aprēķina atbilstoši šīs metodikas 4. punktam, bet apkures sezonas norēķina periodā –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049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1809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1809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apkure/karstā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0572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maksu par viena kvadrātmetra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4382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norēķina perioda apkuri un karstā ūdens cirkulāciju vienam kvadrātmetram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maksu par dzīvokļa, mākslinieka darbnīcas vai nedzīvojamās telpas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33625"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333625"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Nedzīvojamās telpas vai mākslinieka darbnīcas platības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8115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81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Dzīvokļa viena kvadrātmetra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95474" cy="3810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95474" cy="38100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apk./cirk.dz.</w:t>
      </w:r>
      <w:r w:rsidR="00000000" w:rsidRPr="00000000" w:rsidDel="00000000">
        <w:rPr>
          <w:rtl w:val="0"/>
        </w:rPr>
        <w:t xml:space="preserve"> – dzīvokļa viena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un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Nedzīvojamo telpu vai mākslinieka darbnīcu apkurei un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716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716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763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norēķina perioda kopējo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Aprēķināto daļu norēķina periodā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 dzīvojamās mājas kopējās apkures un karstā ūdens apgādes sistēmas atvienota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mākslinieku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Norēķina periodā siltumenerģijas kopējo daudzumu, kas attiecināms uz dzīvojamās mājas kopējās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noteikumu_konsolidētā_versija_p3_24-TA-729.docx</dc:title>
</cp:coreProperties>
</file>

<file path=docProps/custom.xml><?xml version="1.0" encoding="utf-8"?>
<Properties xmlns="http://schemas.openxmlformats.org/officeDocument/2006/custom-properties" xmlns:vt="http://schemas.openxmlformats.org/officeDocument/2006/docPropsVTypes"/>
</file>