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sadalot ar siltuma maksas sadalītājiem dzīvokļos, nedzīvojamās telpās vai mākslinieka darbnīcās un karstā ūdens cirkulāciju sadalot uz kvadrātmetriem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Siltumenerģijas daudzumu karstā ūdens sagatavošanai vasaras sezonas norēķina periodā aprēķina atbilstoši šīs metodikas 4. punktam, bet apkures sezonas norēķina periodā atbilstoši šīs metodikas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Vasaras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52400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628775" cy="35242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vasaras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vasaras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sagatavošanai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9542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norēķina periodā saskaņā ar skaitītāja rādījumiem pirms siltummaiņa patērētā aukstā ūdens kopējais apjoms karstā ūdens sagatavošanai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norēķina periodā patērēto karsto ūdeni dzīvoklī, mākslinieka darbnīcā vai nedzīvojamā telpā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aukstā ūdens kubikmetra uzsildīšanai siltummainī patērētās siltumenerģijas daudzums karstā ūdens sagatavošanai,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sezonā karstā ūdens cirkulācijai patērēto siltumenerģiju pieskaita apkurei patērētās siltumenerģijas daudzumam. Vasaras sezonā karstā ūdens cirkulācijai patērēto siltumenerģiju aprēķina kā atsevišķu pozīciju.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apkurei un karstā ūdens cirkulācijai patērēto siltumenerģiju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668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4668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sagatavošanai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Apkures un karstā ūdens cirkulācijai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5621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Koplietošanas telpu apkures un karstā ūdens cirkulācijai patērēto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495425"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Dzīvokļu, mākslinieka darbnīcu vai nedzīvojamo telpu patērēto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620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620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apk./cirk.</w:t>
      </w:r>
      <w:r w:rsidR="00000000" w:rsidRPr="00000000" w:rsidDel="00000000">
        <w:rPr>
          <w:rtl w:val="0"/>
        </w:rPr>
        <w:t xml:space="preserve"> – apkurei un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Dzīvokļu, mākslinieka darbnīcu vai nedzīvojamo telpu patērēto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181100"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apkures sezonas norēķina periodā dzīvokļos, mākslinieka darbnīcās vai nedzīvojamās telpās patērētās siltumenerģijas daudzums,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7157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Apkures sezonas norēķina periodā siltumenerģijas daudzumu, kas izmantots karstā ūdens cirkulācijai un koplietošanas telpu apkurei un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81075" cy="39052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81075" cy="39052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koplietošanas telpu apkurei un karstā ūdens cirkulācijai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Apkures sezonas norēķina periodā maksu par koplietošanas telpu apkures un karstā ūdens cirkulācijas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71775" cy="31432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2771775" cy="31432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apkurei un karstā ūdens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konkrēto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Apkures sezonas norēķina periodā maksu par dzīvokļa, mākslinieka darbnīcas vai nedzīvojamās telpas apkuri un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75260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un karstā ūdens cirkulācijas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Vasaras sezonā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4777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sagatavošanai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Maksu par karstā ūdens cirkulāciju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00125" cy="2857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000125" cy="285750"/>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Viena karstā ūdens kvadrātmetra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66750" cy="38100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666750" cy="381000"/>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Maksu par viena karstā ūdens kvadrātmetra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019174" cy="285750"/>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14525" cy="31432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914525" cy="31432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335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933575"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apk./cirk.</w:t>
      </w:r>
      <w:r w:rsidR="00000000" w:rsidRPr="00000000" w:rsidDel="00000000">
        <w:rPr>
          <w:rtl w:val="0"/>
        </w:rPr>
        <w:t xml:space="preserve"> – konkrētā dzīvokļa, mākslinieka darbnīcas vai nedzīvojamās telpas maksa par apkuri un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228725" cy="295275"/>
                    </a:xfrm>
                    <a:prstGeom prst="rect"/>
                    <a:ln/>
                  </pic:spPr>
                </pic:pic>
              </a:graphicData>
            </a:graphic>
          </wp:inline>
        </w:drawing>
      </w:r>
      <w:r w:rsidR="00000000" w:rsidRPr="00000000" w:rsidDel="00000000">
        <w:rPr>
          <w:rtl w:val="0"/>
        </w:rPr>
        <w:t xml:space="preserve">   (26)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dzīvoklim, mākslinieka darbnīcai vai nedzīvojamai telpai, kas atvienota no mājas kopējās apkures un karstā ūdens apgādes sistēmas, atbilstoši neatkarīga eksperta veiktajam aprēķinam vai dzīvojamās mājas īpašnieku lēmumam (MWh)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patērētās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438275" cy="295275"/>
                    </a:xfrm>
                    <a:prstGeom prst="rect"/>
                    <a:ln/>
                  </pic:spPr>
                </pic:pic>
              </a:graphicData>
            </a:graphic>
          </wp:inline>
        </w:drawing>
      </w:r>
      <w:r w:rsidR="00000000" w:rsidRPr="00000000" w:rsidDel="00000000">
        <w:rPr>
          <w:rtl w:val="0"/>
        </w:rPr>
        <w:t xml:space="preserve"> (27)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Siltumenerģijas kopējo daudzumu, kas attiecināms uz dzīvojamās mājas kopējai apkures un karstā ūdens apgādes sistēmai pievienotajiem dzīvokļiem, nedzīvojamām telpām vai mākslinieka darbnīcām,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562100" cy="295275"/>
                    </a:xfrm>
                    <a:prstGeom prst="rect"/>
                    <a:ln/>
                  </pic:spPr>
                </pic:pic>
              </a:graphicData>
            </a:graphic>
          </wp:inline>
        </w:drawing>
      </w:r>
      <w:r w:rsidR="00000000" w:rsidRPr="00000000" w:rsidDel="00000000">
        <w:rPr>
          <w:rtl w:val="0"/>
        </w:rPr>
        <w:t xml:space="preserve">   (28)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noteikumu_konsolidētā_versija_p8_24-TA-729.docx</dc:title>
</cp:coreProperties>
</file>

<file path=docProps/custom.xml><?xml version="1.0" encoding="utf-8"?>
<Properties xmlns="http://schemas.openxmlformats.org/officeDocument/2006/custom-properties" xmlns:vt="http://schemas.openxmlformats.org/officeDocument/2006/docPropsVTypes"/>
</file>