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komercdarbības atbalsta piešķiršanas nosacījumiem sociālajiem uzņēmumiem un atbalsta piešķiršanas kārtību"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24-TA-2418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