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Vēlētāju reģistra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Vēlētāju reģistra informācijas sistēmas un Elektroniskā tiešsaistes vēlētāju reģistra programmatūras pielāgošanas izmaksas bez pievienotās vērtības nodokļa (turpmāk – PVN) 446 056 euro apmērā 2023. gadā plānots segt no Vides aizsardzības un reģionālās attīstības ministrijas administrētās Eiropas Savienības Atveseļošanas un noturības mehānisma plāna 2. komponentes “Digitālā transformācija” 2.1. reformu un investīciju virziena “Valsts pārvaldes, t.sk. pašvaldību digitālā transformācija” Centrālajai vēlēšanu komisijai paredzētā finansējuma vēlēšanu procesu digitalizācijai un automatizācijai.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Vēlētāju reģistra informācijas sistēmas un Elektroniskā tiešsaistes vēlētāju reģistra programmatūras pielāgošanas izmaksu PVN 93 672 euro apmērā tiks segts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22-TA-1954</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mk_sēdes_protokollēmuma_projekts_22-TA-1954.docx</dc:title>
</cp:coreProperties>
</file>

<file path=docProps/custom.xml><?xml version="1.0" encoding="utf-8"?>
<Properties xmlns="http://schemas.openxmlformats.org/officeDocument/2006/custom-properties" xmlns:vt="http://schemas.openxmlformats.org/officeDocument/2006/docPropsVTypes"/>
</file>