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7. 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Diferencētās dabasgāzes patēriņa mēneša un gada normas mājsaimniecības lietotājam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10.08.2021. noteikumu Nr. 515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281"/>
        <w:gridCol w:w="1568"/>
        <w:gridCol w:w="1664"/>
        <w:gridCol w:w="2047"/>
        <w:gridCol w:w="2143"/>
        <w:tblGridChange w:id="0">
          <w:tblGrid>
            <w:gridCol w:w="514"/>
            <w:gridCol w:w="1281"/>
            <w:gridCol w:w="1568"/>
            <w:gridCol w:w="1664"/>
            <w:gridCol w:w="2047"/>
            <w:gridCol w:w="21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Mēnesis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Dabasgāzes patēriņa norma (m</w:t>
            </w:r>
            <w:r w:rsidR="00000000" w:rsidRPr="00000000" w:rsidDel="00000000">
              <w:rPr>
                <w:vertAlign w:val="superscript"/>
                <w:rtl w:val="0"/>
              </w:rPr>
              <w:t xml:space="preserve">3</w:t>
            </w:r>
            <w:r w:rsidR="00000000" w:rsidRPr="00000000" w:rsidDel="00000000">
              <w:rPr>
                <w:rtl w:val="0"/>
              </w:rPr>
              <w:t xml:space="preserve">) mājsaimniecības lietotājam gazificētajos objektos, kuros ir gāzes plīts un centralizēta karstā ūdens apgāde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Dabasgāzes patēriņa norma (m</w:t>
            </w:r>
            <w:r w:rsidR="00000000" w:rsidRPr="00000000" w:rsidDel="00000000">
              <w:rPr>
                <w:vertAlign w:val="superscript"/>
                <w:rtl w:val="0"/>
              </w:rPr>
              <w:t xml:space="preserve">3</w:t>
            </w:r>
            <w:r w:rsidR="00000000" w:rsidRPr="00000000" w:rsidDel="00000000">
              <w:rPr>
                <w:rtl w:val="0"/>
              </w:rPr>
              <w:t xml:space="preserve">) mājsaimniecības lietotājam gazificētajos objektos, kuros ir gāzes plīts, bet nav ūdens sildītāju un centralizētas karstā ūdens apgādes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Dabasgāzes patēriņa norma (kWh) mājsaimniecības lietotājam gazificētajos objektos, kuros ir gāzes plīts un centralizēta karstā ūdens apgāde (dabasgāzes daudzuma pārrēķinu uz enerģijas vienībām veic, izmantojot faktisko augstāko siltumspēju 10,538 kWh/m³)</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Dabasgāzes patēriņa norma (kWh) mājsaimniecības lietotājam gazificētajos objektos, kuros ir gāzes plīts, bet nav ūdens sildītāju un centralizētas karstā ūdens apgādes (dabasgāzes daudzuma pārrēķinu uz enerģijas vienībām veic, izmantojot faktisko augstāko siltumspēju 10,538 kWh/m³)</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Janvāris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Februāris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Aprīlis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Jūnijs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Jūlijs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Augusts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Septembris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Oktobris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Novembris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Decembris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Gadā 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920</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22-TA-2283</w:t>
    </w:r>
    <w:r>
      <w:br/>
    </w:r>
    <w:r w:rsidR="00000000" w:rsidRPr="00000000" w:rsidDel="00000000">
      <w:rPr>
        <w:rtl w:val="0"/>
      </w:rPr>
      <w:t xml:space="preserve">Izdrukāts 29.07.2026. 21.09 - 1.0.VK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22-TA-2283</w:t>
    </w:r>
    <w:r>
      <w:br/>
    </w:r>
    <w:r w:rsidR="00000000" w:rsidRPr="00000000" w:rsidDel="00000000">
      <w:rPr>
        <w:rtl w:val="0"/>
      </w:rPr>
      <w:t xml:space="preserve">Izdrukāts 29.07.2026. 21.09 - 1.0.VK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noteikumu_konsolidētā_versija_p2_22-TA-2283.docx</dc:title>
</cp:coreProperties>
</file>

<file path=docProps/custom.xml><?xml version="1.0" encoding="utf-8"?>
<Properties xmlns="http://schemas.openxmlformats.org/officeDocument/2006/custom-properties" xmlns:vt="http://schemas.openxmlformats.org/officeDocument/2006/docPropsVTypes"/>
</file>