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273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16. maijā (prot. Nr. 26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Iekšlietu ministrijai finansējumu, kas nepārsniedz 192 392 </w:t>
      </w:r>
      <w:r w:rsidR="00000000" w:rsidRPr="00000000" w:rsidDel="00000000">
        <w:rPr>
          <w:i w:val="1"/>
          <w:rtl w:val="0"/>
        </w:rPr>
        <w:t xml:space="preserve">euro</w:t>
      </w:r>
      <w:r w:rsidR="00000000" w:rsidRPr="00000000" w:rsidDel="00000000">
        <w:rPr>
          <w:rtl w:val="0"/>
        </w:rPr>
        <w:t xml:space="preserve">, lai sabiedriskās kārtības un drošības nodrošināšanai segtu izdevumus, kas saistīti ar 2023. gada Pasaules čempionātu hokejā, samaksai par virsstundu darbu Iekšlietu ministrijas padotības iestāžu nodarbinātajiem, kā arī degvielas izdevumus Valsts policijai,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121 845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ugunsdzēsības un glābšanas dienestam – 35 486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ministrijas Informācijas centram – 3081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drošības dienestam – 31 980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"Līdzekļi neparedzētiem gadījumiem" atbilstoši faktiski nepieciešamajam apmēram.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23-TA-930</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23-TA-930</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rīkojuma_projekts_23-TA-930.docx</dc:title>
</cp:coreProperties>
</file>

<file path=docProps/custom.xml><?xml version="1.0" encoding="utf-8"?>
<Properties xmlns="http://schemas.openxmlformats.org/officeDocument/2006/custom-properties" xmlns:vt="http://schemas.openxmlformats.org/officeDocument/2006/docPropsVTypes"/>
</file>