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"Veselības darbaspēka attīstības stratēģija līdz 2029.gadam"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23-TA-3308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