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17.janvāra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Palīgvielas un informācija lietošanas instrukcijā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09.04.2013. noteikumiem Nr.194)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377"/>
        <w:gridCol w:w="1377"/>
        <w:gridCol w:w="1377"/>
        <w:gridCol w:w="1377"/>
        <w:gridCol w:w="1377"/>
        <w:gridCol w:w="1377"/>
        <w:tblGridChange w:id="0">
          <w:tblGrid>
            <w:gridCol w:w="1377"/>
            <w:gridCol w:w="1377"/>
            <w:gridCol w:w="1377"/>
            <w:gridCol w:w="1377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Nosaukums latviešu valodā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Nosaukums angļu valodā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Lietošanas veids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Robeža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(sākot no)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Informācija lietošanas instrukcijā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Piezīmes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Aprotinīns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Aprotinin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hipersensitivitāti vai smagas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alerģiskas  		reakcijas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Lokālais lietošanas veids šajā gadījumā attiecas uz vietām, kas ir  		saistītas ar cirkulāciju (piemēram, brūces, ķermeņa dobumi utt.)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Arahisa eļļa (zemesriekstu eļļa)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Arachis oil (peanut oil)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Visi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Zāles satur arahisa (zemesriekstu) eļļu. Nelietojiet šīs zāles, ja  		jums ir alerģija pret zemesriekstiem vai soju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Attīrīta arahisa eļļa satur zemesriekstu proteīnu. Eiropas  		Farmakopejas monogrāfijā nav iekļauta atlieku proteīna pārbaudes metode.  		Zāļu aprakstā - kontrindikācija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Aspartāms (E951)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Aspartame</w:t>
            </w:r>
            <w:r w:rsidR="00000000" w:rsidRPr="00000000" w:rsidDel="00000000">
              <w:rPr>
                <w:rtl w:val="0"/>
              </w:rPr>
              <w:t xml:space="preserve"> (E951)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Fenilalanīna avots. Var būt kaitīgs pacientiem ar fenilketonūriju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Azokrāsvielas,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piemēram,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E102, tartrazīns,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E110, saulrieta dzeltenais FCF,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E122, azorubīns, karmozīns,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E123, amarants,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E124, kumačs 4R, košenila sarkanais A,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E151, briljanta melnais BN, melnais PN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Azocolouring agents</w:t>
            </w:r>
            <w:r w:rsidR="00000000" w:rsidRPr="00000000" w:rsidDel="00000000">
              <w:rPr>
                <w:rtl w:val="0"/>
              </w:rPr>
              <w:t xml:space="preserve">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for example</w:t>
            </w:r>
            <w:r w:rsidR="00000000" w:rsidRPr="00000000" w:rsidDel="00000000">
              <w:rPr>
                <w:rtl w:val="0"/>
              </w:rPr>
              <w:t xml:space="preserve">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E102, </w:t>
            </w:r>
            <w:r w:rsidR="00000000" w:rsidRPr="00000000" w:rsidDel="00000000">
              <w:rPr>
                <w:i w:val="1"/>
                <w:rtl w:val="0"/>
              </w:rPr>
              <w:t xml:space="preserve">tartrazine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E110, </w:t>
            </w:r>
            <w:r w:rsidR="00000000" w:rsidRPr="00000000" w:rsidDel="00000000">
              <w:rPr>
                <w:i w:val="1"/>
                <w:rtl w:val="0"/>
              </w:rPr>
              <w:t xml:space="preserve">sunset yellow</w:t>
            </w:r>
            <w:r w:rsidR="00000000" w:rsidRPr="00000000" w:rsidDel="00000000">
              <w:rPr>
                <w:rtl w:val="0"/>
              </w:rPr>
              <w:t xml:space="preserve"> FCF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E122, </w:t>
            </w:r>
            <w:r w:rsidR="00000000" w:rsidRPr="00000000" w:rsidDel="00000000">
              <w:rPr>
                <w:i w:val="1"/>
                <w:rtl w:val="0"/>
              </w:rPr>
              <w:t xml:space="preserve">azorubine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carmoisine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E123, </w:t>
            </w:r>
            <w:r w:rsidR="00000000" w:rsidRPr="00000000" w:rsidDel="00000000">
              <w:rPr>
                <w:i w:val="1"/>
                <w:rtl w:val="0"/>
              </w:rPr>
              <w:t xml:space="preserve">amaranth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E124, </w:t>
            </w:r>
            <w:r w:rsidR="00000000" w:rsidRPr="00000000" w:rsidDel="00000000">
              <w:rPr>
                <w:i w:val="1"/>
                <w:rtl w:val="0"/>
              </w:rPr>
              <w:t xml:space="preserve">ponceau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4R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red</w:t>
            </w:r>
            <w:r w:rsidR="00000000" w:rsidRPr="00000000" w:rsidDel="00000000">
              <w:rPr>
                <w:rtl w:val="0"/>
              </w:rPr>
              <w:t xml:space="preserve">, 		</w:t>
            </w:r>
            <w:r w:rsidR="00000000" w:rsidRPr="00000000" w:rsidDel="00000000">
              <w:rPr>
                <w:i w:val="1"/>
                <w:rtl w:val="0"/>
              </w:rPr>
              <w:t xml:space="preserve">cochineal red 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E151, </w:t>
            </w:r>
            <w:r w:rsidR="00000000" w:rsidRPr="00000000" w:rsidDel="00000000">
              <w:rPr>
                <w:i w:val="1"/>
                <w:rtl w:val="0"/>
              </w:rPr>
              <w:t xml:space="preserve">brilliant 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 		black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BN, black PN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alerģiskas reakcijas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Benzalkonija hlorīds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Benzalkonium chloride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Oftalmolo­ģiski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acu kairinājumu. Jāizvairās no kontakta ar mīkstajām  		kontaktlēcām. Izņemt kontaktlēcas pirms lietošanas un nogaidīt vismaz 15  		minūtes pirms atkārtotas ievietošanas acī.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Zināms, ka krāso mīkstās kontaktlēcas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Kairinātājs, var izraisīt ādas reakcijas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Respiratori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 µg/ ievadīto devu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bronhospazmu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Benzoskābe un benzoāti,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piemēram,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E210, benzoskābe,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E211, nātrija benzoāts,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E212, kālija benzoāts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Benzoic acid and benzoates</w:t>
            </w:r>
            <w:r w:rsidR="00000000" w:rsidRPr="00000000" w:rsidDel="00000000">
              <w:rPr>
                <w:rtl w:val="0"/>
              </w:rPr>
              <w:t xml:space="preserve">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for example</w:t>
            </w:r>
            <w:r w:rsidR="00000000" w:rsidRPr="00000000" w:rsidDel="00000000">
              <w:rPr>
                <w:rtl w:val="0"/>
              </w:rPr>
              <w:t xml:space="preserve">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E210, </w:t>
            </w:r>
            <w:r w:rsidR="00000000" w:rsidRPr="00000000" w:rsidDel="00000000">
              <w:rPr>
                <w:i w:val="1"/>
                <w:rtl w:val="0"/>
              </w:rPr>
              <w:t xml:space="preserve">benzoic acid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E211, </w:t>
            </w:r>
            <w:r w:rsidR="00000000" w:rsidRPr="00000000" w:rsidDel="00000000">
              <w:rPr>
                <w:i w:val="1"/>
                <w:rtl w:val="0"/>
              </w:rPr>
              <w:t xml:space="preserve">sodium benzoate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E212, </w:t>
            </w:r>
            <w:r w:rsidR="00000000" w:rsidRPr="00000000" w:rsidDel="00000000">
              <w:rPr>
                <w:i w:val="1"/>
                <w:rtl w:val="0"/>
              </w:rPr>
              <w:t xml:space="preserve">potassium benzoate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Vājš ādas, acu un gļotādu kairinātājs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palielināt dzeltes risku jaundzimušajiem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Benzilspirts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Benzyl alcohol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Iedarbība mazāk par 90 mg/kg dienā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Kontrindicēts priekšlaicīgi dzimušajiem un jaundzimušajiem bērniem.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 izraisīt toksiskas un alerģiskas reakcijas zīdaiņiem un bērniem  		līdz 3 gadu vecumam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aprakstā: "alerģisks" jāprecizē kā "anafilaktoīds".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Benzilspirta daudzums mg/[tilpumā] jānorāda lietošanas instrukcijā un  		zāļu aprakstā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90 mg/kg dienā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Kontrindicēts priekšlaicīgi dzimušajiem un jaundzimušajiem bērniem.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Fatālo toksisko reakciju dēļ, lietojot benzilspirtu devās, kas  		pārsniedz 90 mg/kg dienā, šīs zāles nedrīkst dot zīdaiņiem un bērniem  		līdz 3 gadu vecumam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Benzilspirta daudzums mg/[tilpumā] jānorāda lietošanas instrukcijā un  		zāļu aprakstā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Bergamotes eļļa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Bergaptēns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Bergamot oil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Bergapten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palielināt jutīgumu pret UV gaismu (dabisko un mākslīgo saules  		gaismu)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Netiek pieminēts, ja eļļa nesatur bergaptēnu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Bronopols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Bronopol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lokālas ādas reakcijas (piemēram, kontaktdermatītu)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Butilēts hidroksianizols (E320)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Butylated hydroxyanisole </w:t>
            </w:r>
            <w:r w:rsidR="00000000" w:rsidRPr="00000000" w:rsidDel="00000000">
              <w:rPr>
                <w:rtl w:val="0"/>
              </w:rPr>
              <w:t xml:space="preserve">(E320)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lokālas ādas reakcijas (piemēram, kontaktdermatītu) vai  		acu un gļotādu kairinājumu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Butilēts hidroksitoluols (E321)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Butylated hydroxytoluene</w:t>
            </w:r>
            <w:r w:rsidR="00000000" w:rsidRPr="00000000" w:rsidDel="00000000">
              <w:rPr>
                <w:rtl w:val="0"/>
              </w:rPr>
              <w:t xml:space="preserve"> (E321)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lokālas ādas reakcijas (piemēram, kontaktdermatītu) vai  		acu un gļotādu kairinājumu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Cetostearilspirts,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ieskaitot cetilspirtu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Cetostearyl alcohol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including cetyl alcohol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lokālas ādas reakcijas (piemēram, kontaktdermatītu)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Dimetilsulfoksīds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Dimethyl sulphoxide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būt ādas kairinātājs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Etilspirts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Ethanol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Devā mazāk par 100 mg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Šīs zāles satur nelielu etilspirta (alkohola) daudzumu [devā], kas  		ir mazāka par 100 mg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Informācija vecākiem un bērniem par zemu alkohola līmeni produktā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Devā 100 mg līdz 3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Šīs zāles satur ... tilp. % etilspirta (alkohola) vai devā līdz ...  		mg, kas ir ekvivalents ... ml alus, ... ml vīna.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Kaitīgs cilvēkiem, kuriem ir atkarība no alkohola.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Jāpievērš uzmanība grūtniecēm vai ar krūti barojošām sievietēm,  		bērniem, kā arī paaugstināta riska grupām: pacientiem ar aknu slimību  		vai epilepsiju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Lietošanas instrukcijā jābūt norādītam alus un vīna ekvivalentam  		tilpumam, nomināli aprēķinātam, ņemot vērā attiecīgi 5 % un 12 %  		etilspirta tilpuma procentus.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Atsevišķiem brīdinājumiem jābūt dažādās lietošanas instrukcijas  		sadaļās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Devā 3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Šīs zāles satur ... tilp. % etilspirta (alkohola) vai devā līdz ...  		mg, kas ir ekvivalents ... ml alus, ... ml vīna.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Kaitīgs cilvēkiem, kuriem ir atkarība no alkohola.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Jāpievērš uzmanība grūtniecēm vai ar krūti barojošām sievietēm,  		bērniem, kā arī paaugstināta riska grupām: pacientiem ar aknu slimību  		vai epilepsiju.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Etilspirta klātbūtne šajās zālēs var mainīt citu zāļu iedarbību.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Etilspirta klātbūtne šajās zālēs var ietekmēt spējas vadīt  		autotransportu vai strādāt ar mehānismiem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Fenilalanīns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Phenylalanine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Visi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Zāles satur fenilanalīnu. Var būt kaitīgas pacientiem ar  		fenilketonūriju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Formaldehīds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Formaldehyde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lokālas ādas reakcijas (piemēram, kontaktdermatītu)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kuņģa darbības traucējumus un caureju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Fruktoze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Fructose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Ja ārsts ir teicis, ka jums ir kāda cukura nepanesība, pirms  		lietojat šīs zāles, konsultējieties ar ārstu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aprakstā: šīs zāles nevajadzētu lietot pacientiem ar retu  		iedzimtu fruktozes nepanesību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Satur x g fruktozes katrā devā.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Tas jāievēro pacientiem ar cukura diabētu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Šķidrumi iekšķīgai lietošanai, sūkājamās  		tabletes un košļājamās tabletes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kaitēt zobiem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Informācija jāiekļauj tikai tad, ja zāles ordinē ilgstošai  		lietošanai, piemēram, divas nedēļas vai vairāk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Galaktoze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Galactose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Ja ārsts ir teicis, ka jums ir kāda cukura nepanesība, pirms  		lietojat šīs zāles, konsultējieties ar ārstu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aprakstā: šīs zāles nevajadzētu lietot pacientiem ar retu  		iedzimtu galaktozes nepanesību, piemēram, galaktozēmiju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Ja ārsts ir teicis, ka jums ir kāda cukura nepanesība, pirms  		lietojat šīs zāles, konsultējieties ar ārstu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aprakstā: šīs zāles nevajadzētu lietot pacientiem ar retu  		iedzimtu galaktozes nepanesību, piemēram, galaktozēmiju vai ar  		glikozes-galaktozes malabsorbciju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Satur x g galaktozes katrā devā.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Tas jāievēro pacientiem ar cukura diabētu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Glicerīns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Glycerol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 g/devā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radīt galvassāpes, kuņģa darbības traucējumus un caureju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Rektāli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būt viegla caureju veicinoša iedarbība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Glikoze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Glucose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Ja ārsts ir teicis, ka jums ir kāda cukura nepanesība, pirms  		lietojat šīs zāles, konsultējieties ar ārstu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aprakstā: šīs zāles nevajadzētu lietot pacientiem ar retu  		iedzimtu glikozes-galaktozes malabsorbciju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Satur x g glikozes katrā devā.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Tas jāievēro pacientiem ar cukura diabētu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Šķidrumi iekšķīgai lietošanai, sūkājamās  		tabletes un košļājamās tabletes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kaitēt zobiem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Informācija jāiekļauj tikai tad, ja zāles ordinē ilgstošai  		lietošanai, piemēram, divas nedēļas vai vairāk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Heparīns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(kā palīgviela)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Heparin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(as an exipient)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alerģiskas reakcijas un samazināt asins šūnu daudzumu,  		kas var ietekmēt asins sarecēšanas sistēmu.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Heparīnu saturošas zāles nevajadzētu lietot pacientiem, kuriem ir  		bijušas heparīna izraisītas alerģiskas reakcijas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Hidrogenēts glikozes sīrups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(vai maltīta šķidrums)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Hydrogenated Glucose syrup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(or Maltitol Liquid)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Ja jūsu ārsts ir teicis, ka jums ir nepanesamība pret dažiem  		cukuriem, sazinieties ar savu ārstu pirms šo zāļu lietošanas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aprakstā: šīs zāles nevajadzētu lietot pacientiem ar retu  		iedzimtu fruktozes nepanesību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būt viegla caureju veicinoša iedarbība.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Kaloriju daudzums 2,3 kkal/g hidrogenētā glikozes sīrupa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Hlorkrezols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Chlorocresol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alerģiskas reakcijas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Invertcukurs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Invert suger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Ja ārsts ir teicis, ka jums ir kāda cukura nepanesība, pirms  		lietojat šīs zāles, konsultējieties ar ārstu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aprakstā: šīs zāles nevajadzētu lietot pacientiem ar retu  		iedzimtu fruktozes nepanesību vai ar glikozes-galaktozes malabsorbciju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Satur x g fruktozes un glikozes maisījuma katrā devā.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Tas jāievēro pacientiem ar cukura diabētu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Šķidrumi iekšķīgai lietošanai, sūkājamās  		tabletes un košļājamās tabletes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kaitēt zobiem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Informācija jāietver, ja zāles paredzētas ilgstošai lietošanai,  		t.i., divas nedēļas un vairāk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Kālijs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Potassium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Mazāk par 1 mmol katrā [devā]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Zāles satur kāliju mazāk par 1 mmol (39 mg) katrā [devā], būtībā tās  		ir kāliju nesaturošas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Robeža ir pamatota ar kopējo K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  <w:r w:rsidR="00000000" w:rsidRPr="00000000" w:rsidDel="00000000">
              <w:rPr>
                <w:i w:val="1"/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daudzumu zālēs.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svarīgi pediatrijas devās lietojamām zālēm, lai ārstiem būtu  		pilna informācija un vecāki būtu informēti par zemo K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  <w:r w:rsidR="00000000" w:rsidRPr="00000000" w:rsidDel="00000000">
              <w:rPr>
                <w:i w:val="1"/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vertAlign w:val="superscript"/>
                <w:rtl w:val="0"/>
              </w:rPr>
              <w:t xml:space="preserve"> 		</w:t>
            </w:r>
            <w:r w:rsidR="00000000" w:rsidRPr="00000000" w:rsidDel="00000000">
              <w:rPr>
                <w:rtl w:val="0"/>
              </w:rPr>
              <w:t xml:space="preserve"> līmeni zālēs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 mmol katrā [devā]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Zāles satur x mmol (vai y mg) kālija katrā [devā].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Jāievēro pacientiem ar nieru mazspēju vai pacientiem ar kontrolētu  		kālija diētu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 - intravenozi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30 mmol/l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sāpes injekcijas vietā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Ksilīts (E967)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Xylitol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caureju veicinošu iedarbību.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Kaloriju daudzums 2,4 kkal/g ksilīta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Kviešu ciete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Wheat starch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Piemērots cilvēkiem ar celiakiju.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Nevajadzētu lietot pacientiem ar kviešu alerģiju (atšķirīgu no  		celiakijas)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Kviešu ciete var saturēt glutēnu, bet tikai zīmes, tāpēc tā tiek  		uzskatīta par drošu pacientiem ar celiakiju.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(Glutēna saturs kviešu cietē tiek noteikts ar Eiropas Farmakopejas  		monogrāfijā aprakstīto metodi kopējā proteīnu daudzuma noteikšanai)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Laktīts (E966)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Lactitol</w:t>
            </w:r>
            <w:r w:rsidR="00000000" w:rsidRPr="00000000" w:rsidDel="00000000">
              <w:rPr>
                <w:rtl w:val="0"/>
              </w:rPr>
              <w:t xml:space="preserve"> (E966)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Ja ārsts ir teicis, ka jums ir kāda cukura nepanesība, pirms  		lietojat šīs zāles, konsultējieties ar ārstu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aprakstā: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šīs zāles nevajadzētu lietot pacientiem ar retu iedzimtu fruktozes  		vai galaktozes nepanesību, galaktozēmiju vai glikozes-galaktozes  		malabsorbciju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būt viegla caureju veicinoša iedarbība.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Kaloriju daudzums 2,1 kkal/g laktīta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Laktoze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Lactose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Ja ārsts ir teicis, ka jums ir kāda cukura nepanesība, pirms  		lietojat šīs zāles, konsultējieties ar ārstu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aprakstā: šīs zāles nevajadzētu lietot pacientiem ar retu  		iedzimtu galaktozes nepanesību, </w:t>
            </w:r>
            <w:r w:rsidR="00000000" w:rsidRPr="00000000" w:rsidDel="00000000">
              <w:rPr>
                <w:i w:val="1"/>
                <w:rtl w:val="0"/>
              </w:rPr>
              <w:t xml:space="preserve">Lapp </w:t>
            </w:r>
            <w:r w:rsidR="00000000" w:rsidRPr="00000000" w:rsidDel="00000000">
              <w:rPr>
                <w:rtl w:val="0"/>
              </w:rPr>
              <w:t xml:space="preserve">laktāzes deficītu vai  		glikozes-galaktozes malabsorbciju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Satur x g laktozes (x/2 g glikozes un x/2 g galaktozes) katrā devā.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Tas jāievēro pacientiem ar cukura diabētu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Lanolīns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(skat. Vilnas tauki)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Lanolin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(see Wool Fat)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lokālas ādas reakcijas (piemēram, kontaktdermatītu)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Latekss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Dabīgā gumija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Latex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Natural Rubber (latex)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Visi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Šo zāļu iepakojums satur lateksu (gumiju). Var izraisīt smagas  		alerģiskas reakcijas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Nav tipiskā palīgviela, bet brīdinājums ir nepieciešams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Maltīts (E965) un izomalts (E953),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maltīta šķidrums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(skat. Hidrogenēts glikozes sīrups)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Maltitol </w:t>
            </w:r>
            <w:r w:rsidR="00000000" w:rsidRPr="00000000" w:rsidDel="00000000">
              <w:rPr>
                <w:rtl w:val="0"/>
              </w:rPr>
              <w:t xml:space="preserve">(E965)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and Isomaltitol</w:t>
            </w:r>
            <w:r w:rsidR="00000000" w:rsidRPr="00000000" w:rsidDel="00000000">
              <w:rPr>
                <w:rtl w:val="0"/>
              </w:rPr>
              <w:t xml:space="preserve"> (E953),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Maltitol Liquid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(see Hydrogenated 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 		Glucose Syrup)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Ja ārsts ir teicis, ka jums ir kāda cukura nepanesība, pirms  		lietojat šīs zāles, konsultējieties ar ārstu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aprakstā: šīs zāles nevajadzētu lietot pacientiem ar retu  		iedzimtu fruktozes nepanesību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būt viegla caureju veicinoša iedarbība.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Kaloriju daudzums 2,3 kkal/g maltīta (vai izomalta)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Mannīts (E421)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Mannitol</w:t>
            </w:r>
            <w:r w:rsidR="00000000" w:rsidRPr="00000000" w:rsidDel="00000000">
              <w:rPr>
                <w:rtl w:val="0"/>
              </w:rPr>
              <w:t xml:space="preserve"> (E421)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būt viegla caureju veicinoša iedarbība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Nātrijs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Sodium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Mazāk par 1 mmol katrā [devā]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Zāles satur mazāk par 1 mmol nātrija (23 mg) katrā [devā], - būtībā  		tās ir nātriju nesaturošas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Robeža ir pamatota ar kopējo Na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  <w:r w:rsidR="00000000" w:rsidRPr="00000000" w:rsidDel="00000000">
              <w:rPr>
                <w:i w:val="1"/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daudzumu zālēs.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svarīgi pediatrijas devās lietojamām zālēm, lai ārstiem būtu  		pilna informācija un vecāki būtu informēti par zemo Na</w:t>
            </w:r>
            <w:r w:rsidR="00000000" w:rsidRPr="00000000" w:rsidDel="00000000">
              <w:rPr>
                <w:vertAlign w:val="superscript"/>
                <w:rtl w:val="0"/>
              </w:rPr>
              <w:t xml:space="preserve">+</w:t>
            </w:r>
            <w:r w:rsidR="00000000" w:rsidRPr="00000000" w:rsidDel="00000000">
              <w:rPr>
                <w:i w:val="1"/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vertAlign w:val="superscript"/>
                <w:rtl w:val="0"/>
              </w:rPr>
              <w:t xml:space="preserve"> 		</w:t>
            </w:r>
            <w:r w:rsidR="00000000" w:rsidRPr="00000000" w:rsidDel="00000000">
              <w:rPr>
                <w:rtl w:val="0"/>
              </w:rPr>
              <w:t xml:space="preserve"> līmeni zālēs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 mmol katrā [devā]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Zāles satur x mmol (vai y mg) nātrija katrā [devā].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Jāievēro pacientiem ar kontrolētu nātrija diētu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Organiskie dzīvsudraba savienojumi,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piemēram,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tiomersāls,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fenildzīvsudraba nitrāts, acetāts, borāts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Organic mercury compounds,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for example,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Thiomersal,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Phenylmercuric nitrate, acetate, borate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Oftalmo­loģiski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alerģiskas reakcijas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"EMEA Public Statement", 08.07.1999.,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Ref. EMEA/20962/99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lokālas ādas reakcijas (piemēram, kontaktdermatītu) un  		krāsas maiņu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Šīs zāles satur konservantu (tiomersālu), kas, iespējams, var  		izraisīt jums vai jūsu bērnam alerģisku reakciju. Pasakiet savam ārstam,  		ja jums vai jūsu bērnam ir bijušas alerģiskas reakcijas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"EMEA Public Statement", 08.07.1999.,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Ref. EMEA/20962/99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 (vakcinā­cijas gadījumā)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Pasakiet savam ārstam, ja jums vai jūsu bērnam bija kādas veselības  		problēmas pēc iepriekšējās vakcīnas lietošanas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Vakcīnām jānorāda papildu informācija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Parahidroksi­benzoāti un to esteri,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piemēram,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E214, etil-p-hidroksibenzoāts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E216, propil-p-hidroksibenzoāts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E217, nātrija propil-p-hidroksibenzoāts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E218, metil-p-hidroksibenzoāts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E219, nātrija metil-p-hidroksibenzoāts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Parahydroxybenzoates 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 		and their esters: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for example,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E214, </w:t>
            </w:r>
            <w:r w:rsidR="00000000" w:rsidRPr="00000000" w:rsidDel="00000000">
              <w:rPr>
                <w:i w:val="1"/>
                <w:rtl w:val="0"/>
              </w:rPr>
              <w:t xml:space="preserve">Ethylhydroxybenzoate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E216, </w:t>
            </w:r>
            <w:r w:rsidR="00000000" w:rsidRPr="00000000" w:rsidDel="00000000">
              <w:rPr>
                <w:i w:val="1"/>
                <w:rtl w:val="0"/>
              </w:rPr>
              <w:t xml:space="preserve">Propyl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hydroxybenzoate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E217, </w:t>
            </w:r>
            <w:r w:rsidR="00000000" w:rsidRPr="00000000" w:rsidDel="00000000">
              <w:rPr>
                <w:i w:val="1"/>
                <w:rtl w:val="0"/>
              </w:rPr>
              <w:t xml:space="preserve">Sodium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propylhydroxybenzoate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E218, </w:t>
            </w:r>
            <w:r w:rsidR="00000000" w:rsidRPr="00000000" w:rsidDel="00000000">
              <w:rPr>
                <w:i w:val="1"/>
                <w:rtl w:val="0"/>
              </w:rPr>
              <w:t xml:space="preserve">Methyl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hydroxybenzoate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E219, </w:t>
            </w:r>
            <w:r w:rsidR="00000000" w:rsidRPr="00000000" w:rsidDel="00000000">
              <w:rPr>
                <w:i w:val="1"/>
                <w:rtl w:val="0"/>
              </w:rPr>
              <w:t xml:space="preserve">Sodium methyl hydroxybenzoate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Oftalmo­loģiski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alerģiskas reakcijas (iespējams, aizkavētas)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Respiratori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alerģiskas reakcijas (iespējams, aizkavētas) un  		ārkārtējos gadījumos - bronhospazmu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Peru balzāms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Balsam of Peru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izsaukt ādas reakciju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Polioksilrīcineļļa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hidrogenēta polioksilrīcineļļa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Castor oil polyoxyl 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 		and castor oil polyoxyl hydrogenated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smagas alerģiskas reakcijas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kuņģa darbības traucējumus un caureju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ādas reakcijas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Propilēnglikols un tā esteri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Propylene glycol and esters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ādas kairinājumu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400 mg/kg pieaugu­šajiem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mg/kg bērniem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alkoholam līdzīgus simptomus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Saharoze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Sucrose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Ja ārsts ir teicis, ka jums ir kāda cukura nepanesība, pirms  		lietojat šīs zāles, konsultējieties ar ārstu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aprakstā: šīs zāles nevajadzētu lietot pacientiem ar retu  		iedzimtu fruktozes nepanesību, glikozes-galaktozes malabsorbciju vai  		saharāzes−izomaltāzes nepietiekamību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Satur x g saharozes katrā devā.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Tas jāievēro pacientiem ar cukura diabētu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Šķidrumi iekšķīgai lietošanai, sūkājamās  		tabletes un košļājamās tabletes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kaitēt zobiem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Informācija jāiekļauj tikai tad, ja zāles ordinē ilgstošai  		lietošanai, piemēram, divas nedēļas vai vairāk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Sezameļļa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Sesame oil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Visi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Reti var izraisīt smagas alerģiskas reakcijas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Sojas eļļa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(un hidrogenēta sojas eļļa)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Soya oil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(and Hydrogenated Soya oil)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Visi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Zāles satur sojas eļļu. Nelietojiet šīs zāles, ja jums ir alerģija  		pret zemesriekstiem vai soju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Līdzīgi kā arahisa eļļai.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Zāļu aprakstā - kontrindikācija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Sorbīnskābe (E200) un tās sāļi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Sorbic acid and salts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lokālas ādas reakcijas (piemēram, kontaktdermatītu)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Sorbīts (E420)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Sorbitol</w:t>
            </w:r>
            <w:r w:rsidR="00000000" w:rsidRPr="00000000" w:rsidDel="00000000">
              <w:rPr>
                <w:rtl w:val="0"/>
              </w:rPr>
              <w:t xml:space="preserve"> (E420)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Ja ārsts ir teicis, ka jums ir kāda cukura nepanesība, pirms  		lietojat šīs zāles, konsultējieties ar ārstu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aprakstā: šīs zāles nevajadzētu lietot pacientiem ar retu  		iedzimtu fruktozes nepanesību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 g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būt viegla caureju veicinoša iedarbība.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2,6 kkal/g sorbīta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Sulfīti,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ieskaitot metabisulfītus,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piemēram,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E220, sēra dioksīds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E221, nātrija sulfīts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E222, nātrija bisulfīts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E223, nātrija metabisulfīts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E224, kālija metabisulfīts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E228, kālija bisulfīts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Sulphites including metabisulphites,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for example,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E220, </w:t>
            </w:r>
            <w:r w:rsidR="00000000" w:rsidRPr="00000000" w:rsidDel="00000000">
              <w:rPr>
                <w:i w:val="1"/>
                <w:rtl w:val="0"/>
              </w:rPr>
              <w:t xml:space="preserve">sulphur dioxide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E221, </w:t>
            </w:r>
            <w:r w:rsidR="00000000" w:rsidRPr="00000000" w:rsidDel="00000000">
              <w:rPr>
                <w:i w:val="1"/>
                <w:rtl w:val="0"/>
              </w:rPr>
              <w:t xml:space="preserve">sodium sulphite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E222, </w:t>
            </w:r>
            <w:r w:rsidR="00000000" w:rsidRPr="00000000" w:rsidDel="00000000">
              <w:rPr>
                <w:i w:val="1"/>
                <w:rtl w:val="0"/>
              </w:rPr>
              <w:t xml:space="preserve">sodium bisulphite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E223, </w:t>
            </w:r>
            <w:r w:rsidR="00000000" w:rsidRPr="00000000" w:rsidDel="00000000">
              <w:rPr>
                <w:i w:val="1"/>
                <w:rtl w:val="0"/>
              </w:rPr>
              <w:t xml:space="preserve">sodium metabisulphite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E224, </w:t>
            </w:r>
            <w:r w:rsidR="00000000" w:rsidRPr="00000000" w:rsidDel="00000000">
              <w:rPr>
                <w:i w:val="1"/>
                <w:rtl w:val="0"/>
              </w:rPr>
              <w:t xml:space="preserve">potassium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metabisulphite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E228, </w:t>
            </w:r>
            <w:r w:rsidR="00000000" w:rsidRPr="00000000" w:rsidDel="00000000">
              <w:rPr>
                <w:i w:val="1"/>
                <w:rtl w:val="0"/>
              </w:rPr>
              <w:t xml:space="preserve">potassium bisulphite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Iekšķīgi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Parenterāli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Respiratori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Reti var izraisīt smagas hipersensitivitātes reakcijas un  		bronhospazmu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Vilnas tauki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(lanolīns)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Wool Fat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(Lanolin)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Lokāli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Nulle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Var izraisīt lokālas ādas reakcijas (piemēram, kontaktdermatītu)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21-TA-527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21-TA-527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noteikumu_konsolidētā_versija_p_21-TA-527.docx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