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2 310 652 </w:t>
      </w:r>
      <w:r w:rsidR="00000000" w:rsidRPr="00000000" w:rsidDel="00000000">
        <w:rPr>
          <w:i w:val="1"/>
          <w:rtl w:val="0"/>
        </w:rPr>
        <w:t xml:space="preserve">euro</w:t>
      </w:r>
      <w:r w:rsidR="00000000" w:rsidRPr="00000000" w:rsidDel="00000000">
        <w:rPr>
          <w:rtl w:val="0"/>
        </w:rPr>
        <w:t xml:space="preserve">, lai no 2024. gada 1. septembra nodrošinātu pedagogu darba samaksu,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 1 455 355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 849 471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 5 826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Kultūras ministrijai un Tieslietu ministrijai normatīvajos aktos noteiktajā kārtībā sagatavot un iesniegt Finanšu ministrijā pieprasījumu par pamatbudžeta apropriācijas palielinājumu no valsts budžeta programmas 02.00.00 "Līdzekļi neparedzētiem gadījumiem"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24-TA-2323</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24-TA-2323</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rīkojuma_projekts_24-TA-2323.docx</dc:title>
</cp:coreProperties>
</file>

<file path=docProps/custom.xml><?xml version="1.0" encoding="utf-8"?>
<Properties xmlns="http://schemas.openxmlformats.org/officeDocument/2006/custom-properties" xmlns:vt="http://schemas.openxmlformats.org/officeDocument/2006/docPropsVTypes"/>
</file>