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Kredītiestāžu likumā (Latvijas Republikas Saeimas un Ministru Kabineta Ziņotājs, 1995, 23. nr.; 1996, 9., 14., 23. nr.; 1997, 23. nr.; 1998, 13. nr.; 2000, 13. nr.; 2002, 10., 23. nr.; 2003, 14. nr.; 2004, 2., 12., 23. nr.; 2005, 13., 14. nr.; 2006, 15. nr.; 2007, 7., 12. nr.; 2008, 14., 23. nr.; 2009, 6., 7., 17., 22. nr.; Latvijas Vēstnesis, 2010, 23., 51./52., 160. nr.; 2011, 4. nr.; 2012, 50., 56., 92. nr.; 2013, 61., 106., 193. nr.; 2014, 92. nr.; 2015, 29., 97., 124., 140., 248., 251. nr.; 2016, 117., 241. nr.; 2017, 152., 222. nr.; 2018, 45., 225. nr.; 2019, 52., 129., 259.A nr.; 2020, 123., 138. nr.; 2021, 22., 84.B, 110., 121.B, 193., 200. nr.; 2022, 94., 204. nr.; 2023, 118. nr.; 2024, 38., 110., 120.A, 128.A, 193., 196. nr.; 2025, 121.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65. panta ceturtajā daļā vārdus "Izložu un azartspēļu uzraudzības inspekcijas" ar vārdiem "Valsts ieņēmumu dienesta".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25-TA-2068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25-TA-2068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