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2022. gada 14. jūlija noteikumu Nr. 437 "Veterinārās prasības salamandru apritei un karantīnas objekta reģistrācijas kārtība" 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Veterinārmedicīnas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25.panta</w:t>
      </w:r>
      <w:r w:rsidR="00000000" w:rsidRPr="00000000" w:rsidDel="00000000">
        <w:rPr>
          <w:rStyle w:val="paragraph"/>
          <w:i w:val="1"/>
          <w:rtl w:val="0"/>
        </w:rPr>
        <w:t xml:space="preserve"> 1. un 11.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 </w:t>
      </w:r>
      <w:r w:rsidR="00000000" w:rsidRPr="00000000" w:rsidDel="00000000">
        <w:rPr>
          <w:rtl w:val="0"/>
        </w:rPr>
        <w:t xml:space="preserve">Ministru kabineta 2022. gada 14. jūlija noteikumus Nr. 437 "Veterinārās prasības salamandru apritei un karantīnas objekta reģistrācijas kārtība"</w:t>
      </w:r>
      <w:r w:rsidR="00000000" w:rsidRPr="00000000" w:rsidDel="00000000">
        <w:rPr>
          <w:rtl w:val="0"/>
        </w:rPr>
        <w:t xml:space="preserve">  (Latvijas Vēstnesis, 2022, 136.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23-TA-283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23-TA-283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