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12. martā (prot. Nr. 11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17. janvāra noteikumos Nr. 57 "Noteikumi par zāļu marķēšanas kārtību un zāļu lietošanas instrukcijai izvirzāmajām prasībām"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3. un 12.punktu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17. janvāra noteikumos Nr. 57 "Noteikumi par zāļu marķēšanas kārtību un zāļu lietošanas instrukcijai izvirzāmajām prasībām" (Latvijas Vēstnesis, 2006, 14. nr.; 2008, 53. nr.; 2013, 80., 149. nr.; 2016, 29., 189. nr.; 2019, 12. nr.; 2020, 110B., 242. nr.; 2021, 106.,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zālēm, kuras ir paredzētas izmantošanai pētniecībā un izstrādes pārbaudē un kuras neizmanto saistībā ar zāļu klīnisko pārbaudi Eiropas Parlamenta un Padomes 2014. gada 16. aprīļa Regulas Nr. 536/2014 par cilvēkiem paredzētu zāļu klīniskajām pārbaudēm un ar ko atceļ Direktīvu 2001/20/EK (turpmāk ‒ regula Nr. 536/2014)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Neatļauto pētāmo zāļu un neatļauto papildzāļu iesaiņojuma marķējumu veic atbilstoši regulas Nr. 536/2014 X nodaļā un VI pielikumā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Atļauto pētāmo zāļu un atļauto papildzāļu iesaiņojuma marķējumu veic atbilstoši regulas Nr. 536/2014 X nodaļā un VI pielikumā noteiktajām prasībām vai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6.3.3.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"6.3.3. zālēm, kuras Latvijas zāļu reģistrā ir vienīgās zāles ar šādu aktīvo vielu, stiprumu un zāļu formu un to reģistrācijas dokumentācija ir identiska Latvijā apstiprinātajai dokumentācijai;".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 informāciju par šo noteikumu 6.3.3. apakšpunktā minēto zāļu pieejamības problēmām uz paziņojuma iesniegšanas brīdi.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Zāļu valsts aģentūra pārbauda iesniegtās informācijas atbilstību šo noteikumu 6.</w:t>
      </w:r>
      <w:r w:rsidR="00000000" w:rsidRPr="00000000" w:rsidDel="00000000">
        <w:rPr>
          <w:vertAlign w:val="superscript"/>
          <w:rtl w:val="0"/>
        </w:rPr>
        <w:t xml:space="preserve">1</w:t>
      </w:r>
      <w:r w:rsidR="00000000" w:rsidRPr="00000000" w:rsidDel="00000000">
        <w:rPr>
          <w:rtl w:val="0"/>
        </w:rPr>
        <w:t xml:space="preserve"> punktā minētajām prasībām un neatbilstības gadījumā par to informē zāļu reģistrācijas apliecības īpašnieku."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Zāļu valsts aģentūra triju darbdienu laikā pēc šo noteikumu 6.</w:t>
      </w:r>
      <w:r w:rsidR="00000000" w:rsidRPr="00000000" w:rsidDel="00000000">
        <w:rPr>
          <w:vertAlign w:val="superscript"/>
          <w:rtl w:val="0"/>
        </w:rPr>
        <w:t xml:space="preserve">1</w:t>
      </w:r>
      <w:r w:rsidR="00000000" w:rsidRPr="00000000" w:rsidDel="00000000">
        <w:rPr>
          <w:rtl w:val="0"/>
        </w:rPr>
        <w:t xml:space="preserve"> punktā minētās informācijas saņemšanas savā tīmekļvietnē nodrošina publiski pieejamus vismaz šādus datus: zāļu nosaukums, stiprums, iepakojuma lielums un daudzums, sērijas numurs un derīguma termiņš, valsts, kuras tirgum zāles ir paredzētas.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Zāļu reģistrācijas apliecības īpašnieks ir tiesīgs uzsākt šo noteikumu 6.3. apakšpunktā minēto zāļu izplatīšanu tikai pēc attiecīgās informācijas publiskošanas Zāļu valsts aģentūras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 uz reģistrētajām zālēm, ja to ražošanas laikā ir zināms, ka visa zāļu sērija ir paredzēta zāļu klīniskajiem pētījumiem un tās paredzēts lietot 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1.1. atļautas pētāmās zāles;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1.2. atļautas papildzāles;".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Līdz 2026. gada 31. decembrim šo noteikumu 4. punktā minētās prasības nepiemēro Latvijā reģistrētajām un Latvijas zāļu reģistrā iekļautajām zālēm, kas iesaistītas šo noteikumu 43. punktā minētajā pilotprojektā un paredzētas lietošanai stacionārā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Zāles, kas iekļautas šo noteikumu 43. punktā minētajā pilotprojektā un kuru sēriju izlaide ir veikta līdz 2026. gada 31. decembrim, drīkst izplatīt stacionārā ārstniecības iestādē līdz to derīguma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23-TA-1776</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23-TA-1776</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noteikumu_(grozījumu)_projekts_23-TA-1776.docx</dc:title>
</cp:coreProperties>
</file>

<file path=docProps/custom.xml><?xml version="1.0" encoding="utf-8"?>
<Properties xmlns="http://schemas.openxmlformats.org/officeDocument/2006/custom-properties" xmlns:vt="http://schemas.openxmlformats.org/officeDocument/2006/docPropsVTypes"/>
</file>