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12.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2006.gada 17.janvāra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Palīgvielas un informācija lietošanas instrukcijā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1438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53"/>
        <w:gridCol w:w="2343"/>
        <w:gridCol w:w="1431"/>
        <w:gridCol w:w="1887"/>
        <w:gridCol w:w="1188"/>
        <w:gridCol w:w="1546"/>
        <w:gridCol w:w="2505"/>
        <w:gridCol w:w="2928"/>
        <w:tblGridChange w:id="0">
          <w:tblGrid>
            <w:gridCol w:w="553"/>
            <w:gridCol w:w="2343"/>
            <w:gridCol w:w="1431"/>
            <w:gridCol w:w="1887"/>
            <w:gridCol w:w="1188"/>
            <w:gridCol w:w="1546"/>
            <w:gridCol w:w="2505"/>
            <w:gridCol w:w="2928"/>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 latviešu valodā</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Atjauninājums sarakstā</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 angļu valodā</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Lietošanas veids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Robeža</w:t>
            </w:r>
            <w:r>
              <w:tab/>
            </w:r>
            <w:r>
              <w:br/>
            </w:r>
            <w:r w:rsidR="00000000" w:rsidRPr="00000000" w:rsidDel="00000000">
              <w:rPr>
                <w:rtl w:val="0"/>
              </w:rPr>
              <w:t xml:space="preserve">(sākot no)</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 lietošanas instrukcijā</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Aromatizētāji, kas satur alergēnus*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(Skatīt pielikumu)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09.10.2017.</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Fragrances containing allergens*  (See appendix)</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Lokāli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satur aromatizētāju ar alergēnu(-iem).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Alergēns(-i) var izraisīt alerģiskas reakcijas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Aromatizētāju alergēni norādīti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alerģiskām reakcijām, kas var rasties jutīgiem pacientiem, pārējie pacienti var kļūt jutīgi.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Benzilspirts ir norādīts kā viens no 26 aromatizētāju alergēniem, bet var tikt izmantots arī kā palīgviela. Ja benzilspirts tiek izmantots kā palīgviela (papildus aromatizētājam vai nē), jāievieto informācija par šo palīgvielu</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2980b9"/>
                <w:rtl w:val="0"/>
              </w:rPr>
              <w:t xml:space="preserve">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Aprotinīns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Aprotinin</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Lokāli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izraisīt hipersensitivitāti vai smagas</w:t>
            </w:r>
            <w:r w:rsidR="00000000" w:rsidRPr="00000000" w:rsidDel="00000000">
              <w:rPr>
                <w:b w:val="1"/>
                <w:rtl w:val="0"/>
              </w:rPr>
              <w:t xml:space="preserve"> </w:t>
            </w:r>
            <w:r w:rsidR="00000000" w:rsidRPr="00000000" w:rsidDel="00000000">
              <w:rPr>
                <w:rtl w:val="0"/>
              </w:rPr>
              <w:t xml:space="preserve">alerģiskas reakcijas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Lokālais lietošanas veids šajā gadījumā attiecas uz vietām, kas ir saistītas ar cirkulāciju (piemēram, brūces, ķermeņa dobumi)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Arahisa eļļa (zemesriekstu eļļa)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Arachis oil (peanut oil)</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Zāles satur arahisa (zemesriekstu) eļļu. Nelietojiet šīs zāles, ja jums ir alerģija pret zemesriekstiem vai soju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Attīrīta arahisa eļļa satur zemesriekstu proteīnu. Eiropas Farmakopejas monogrāfijā nav iekļauta atlieku proteīna pārbaudes metode. Zāļu aprakstā – kontrindikācija</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Aspartāms (E951)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09.10.2017.</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Aspartame</w:t>
            </w:r>
            <w:r w:rsidR="00000000" w:rsidRPr="00000000" w:rsidDel="00000000">
              <w:rPr>
                <w:rtl w:val="0"/>
              </w:rPr>
              <w:t xml:space="preserve"> (E951)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satur x mg aspartāma katrā devā (tilpuma vienībā), kas ir līdzvērtīgi x mg/ķermeņa masas (tilpuma).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Aspartāms ir fenilalanīna avots. Tas var būt kaitīgs, ja jums ir fenilketonūrija (FKU), kas ir reta ģenētiska slimība, kuras gadījumā fenilalanīns uzkrājas, jo organisms nespēj to pareizi izvadīt</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Aspartāms tiek hidrolizēts kuņģa–zarnu traktā, kad tiek lietots iekšķīgi. Viens no galvenajiem hidrolīzes produktiem ir fenilalanīns.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zāļu aprakstā:</w:t>
            </w:r>
            <w:r>
              <w:tab/>
            </w:r>
            <w:r>
              <w:br/>
            </w:r>
            <w:r w:rsidR="00000000" w:rsidRPr="00000000" w:rsidDel="00000000">
              <w:rPr>
                <w:rtl w:val="0"/>
              </w:rPr>
              <w:t xml:space="preserve">Nav pieejami ne neklīniskie, ne klīniskie dati, lai novērtētu aspartāma lietošanu zīdaiņiem līdz 12 nedēļu vecumam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Azokrāsvielas,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E102, Tartrazīns,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E110, Saulrieta dzeltenais FCF,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E122, Azorubīns, karmozīns,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E123, Amarants,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E124, Kumačs 4R, košenila sarkanais 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E151, Briljanta melnais BN, melnais PN</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Azo colouring agents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for example</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E102, T</w:t>
            </w:r>
            <w:r w:rsidR="00000000" w:rsidRPr="00000000" w:rsidDel="00000000">
              <w:rPr>
                <w:i w:val="1"/>
                <w:rtl w:val="0"/>
              </w:rPr>
              <w:t xml:space="preserve">artrazine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E110, S</w:t>
            </w:r>
            <w:r w:rsidR="00000000" w:rsidRPr="00000000" w:rsidDel="00000000">
              <w:rPr>
                <w:i w:val="1"/>
                <w:rtl w:val="0"/>
              </w:rPr>
              <w:t xml:space="preserve">unset</w:t>
            </w:r>
            <w:r w:rsidR="00000000" w:rsidRPr="00000000" w:rsidDel="00000000">
              <w:rPr>
                <w:i w:val="1"/>
                <w:rtl w:val="0"/>
              </w:rPr>
              <w:t xml:space="preserve"> yellow</w:t>
            </w:r>
            <w:r w:rsidR="00000000" w:rsidRPr="00000000" w:rsidDel="00000000">
              <w:rPr>
                <w:rtl w:val="0"/>
              </w:rPr>
              <w:t xml:space="preserve"> FCF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E122, A</w:t>
            </w:r>
            <w:r w:rsidR="00000000" w:rsidRPr="00000000" w:rsidDel="00000000">
              <w:rPr>
                <w:i w:val="1"/>
                <w:rtl w:val="0"/>
              </w:rPr>
              <w:t xml:space="preserve">zorubine</w:t>
            </w:r>
            <w:r w:rsidR="00000000" w:rsidRPr="00000000" w:rsidDel="00000000">
              <w:rPr>
                <w:rtl w:val="0"/>
              </w:rPr>
              <w:t xml:space="preserve">, </w:t>
            </w:r>
            <w:r w:rsidR="00000000" w:rsidRPr="00000000" w:rsidDel="00000000">
              <w:rPr>
                <w:i w:val="1"/>
                <w:rtl w:val="0"/>
              </w:rPr>
              <w:t xml:space="preserve">carmoisine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E123, A</w:t>
            </w:r>
            <w:r w:rsidR="00000000" w:rsidRPr="00000000" w:rsidDel="00000000">
              <w:rPr>
                <w:i w:val="1"/>
                <w:rtl w:val="0"/>
              </w:rPr>
              <w:t xml:space="preserve">maranth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E124, P</w:t>
            </w:r>
            <w:r w:rsidR="00000000" w:rsidRPr="00000000" w:rsidDel="00000000">
              <w:rPr>
                <w:i w:val="1"/>
                <w:rtl w:val="0"/>
              </w:rPr>
              <w:t xml:space="preserve">onceau</w:t>
            </w:r>
            <w:r w:rsidR="00000000" w:rsidRPr="00000000" w:rsidDel="00000000">
              <w:rPr>
                <w:rtl w:val="0"/>
              </w:rPr>
              <w:t xml:space="preserve"> </w:t>
            </w:r>
            <w:r w:rsidR="00000000" w:rsidRPr="00000000" w:rsidDel="00000000">
              <w:rPr>
                <w:i w:val="1"/>
                <w:rtl w:val="0"/>
              </w:rPr>
              <w:t xml:space="preserve">4R</w:t>
            </w:r>
            <w:r w:rsidR="00000000" w:rsidRPr="00000000" w:rsidDel="00000000">
              <w:rPr>
                <w:rtl w:val="0"/>
              </w:rPr>
              <w:t xml:space="preserve"> </w:t>
            </w:r>
            <w:r w:rsidR="00000000" w:rsidRPr="00000000" w:rsidDel="00000000">
              <w:rPr>
                <w:i w:val="1"/>
                <w:rtl w:val="0"/>
              </w:rPr>
              <w:t xml:space="preserve">red</w:t>
            </w:r>
            <w:r w:rsidR="00000000" w:rsidRPr="00000000" w:rsidDel="00000000">
              <w:rPr>
                <w:rtl w:val="0"/>
              </w:rPr>
              <w:t xml:space="preserve">, </w:t>
            </w:r>
            <w:r w:rsidR="00000000" w:rsidRPr="00000000" w:rsidDel="00000000">
              <w:rPr>
                <w:i w:val="1"/>
                <w:rtl w:val="0"/>
              </w:rPr>
              <w:t xml:space="preserve">cochineal red 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E151, B</w:t>
            </w:r>
            <w:r w:rsidR="00000000" w:rsidRPr="00000000" w:rsidDel="00000000">
              <w:rPr>
                <w:i w:val="1"/>
                <w:rtl w:val="0"/>
              </w:rPr>
              <w:t xml:space="preserve">rilliant</w:t>
            </w:r>
            <w:r>
              <w:tab/>
            </w:r>
            <w:r>
              <w:br/>
            </w:r>
            <w:r w:rsidR="00000000" w:rsidRPr="00000000" w:rsidDel="00000000">
              <w:rPr>
                <w:i w:val="1"/>
                <w:rtl w:val="0"/>
              </w:rPr>
              <w:t xml:space="preserve">black</w:t>
            </w:r>
            <w:r w:rsidR="00000000" w:rsidRPr="00000000" w:rsidDel="00000000">
              <w:rPr>
                <w:rtl w:val="0"/>
              </w:rPr>
              <w:t xml:space="preserve"> </w:t>
            </w:r>
            <w:r w:rsidR="00000000" w:rsidRPr="00000000" w:rsidDel="00000000">
              <w:rPr>
                <w:i w:val="1"/>
                <w:rtl w:val="0"/>
              </w:rPr>
              <w:t xml:space="preserve">BN, black PN</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izraisīt alerģiskas reakcijas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Benzalkonija hlorīds</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09.10.2017.</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Benzalkonium chloride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Inhalāciju veidā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Benzalkonija hlorīds var izraisīt sēkšanu un apgrūtinātu elpošanu (bronhu spazmas), it īpaši, ja Jums ir astma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Nazāli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Benzalkonija hlorīds var izraisīt deguna gļotādas kairinājumu vai tūsku, it īpaši, ja lieto ilgstoši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Ilgstoša lietošana var izraisīt deguna gļotādas tūsku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Okulāri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Mīkstās kontaktlēcas var absorbēt benzalkonija hlorīdu, un tas var mainīt kontaktlēcu krāsu. Pirms šo zāļu lietošanas jums ir jāizņem kontaktlēcas, un tās jāievieto atpakaļ pēc 15 minūtēm.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Benzalkonija hlorīds var izraisīt acu kairinājumu, it īpaši, ja jums ir sausas acis vai radzenes (caurspīdīgs slānis acs priekšējā daļā) bojājumi. Ja pēc šo zāļu lietošanas jums ir neparastas sajūtas acīs, durstīšanas sajūta vai sāpes acīs, konsultējieties ar savu ārstu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Pieejamie ierobežotie dati liecina, ka nepastāv atšķirības blakusparādību profilā bērniem un pieaugušajiem.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Visumā tomēr bērnu acis uzrāda spēcīgāku reakciju uz konkrētu kairinātāju salīdzinājumā ar pieaugušo acīm. Kairinājums var ietekmēt terapijas ievērošanu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Ziņots, ka benzalkonija hlorīds var izraisīt acu kairinājumu, sausās acs simptomus un var ietekmēt asaru slāni un radzenes virsmu. Jālieto piesardzīgi pacientiem ar sausās acs sindromu un pacientiem, kuru radzene var būt bojāta.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Ilgstoši lietojot, pacienti jānovēro</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Oromukuzāli, rektāli un vagināli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Benzalkonija hlorīds var izraisīt lokālu kairinājumu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 ādas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Benzalkonija hlorīds var kairināt ādu.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Jūs barojat bērnu ar krūti, nelietojiet šīs zāles uz krūtīm, jo bērns var saņemt tās ar Jūsu pienu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paredzams, ka lietošana grūtniecības un laktācijas laikā radīs kaitīgi ietekmi uz māti, jo benzalkonija hlorīda uzsūkšanās no ādas ir minimāla.</w:t>
            </w:r>
            <w:r>
              <w:br/>
            </w:r>
            <w:r w:rsidR="00000000" w:rsidRPr="00000000" w:rsidDel="00000000">
              <w:rPr>
                <w:rtl w:val="0"/>
              </w:rPr>
              <w:t xml:space="preserve">                                                                  </w:t>
            </w:r>
            <w:r>
              <w:br/>
            </w:r>
            <w:r w:rsidR="00000000" w:rsidRPr="00000000" w:rsidDel="00000000">
              <w:rPr>
                <w:rtl w:val="0"/>
              </w:rPr>
              <w:t xml:space="preserve">Nav piemērots lietošanai uz gļotādas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satur x mg benzalkonija hlorīda katrā devā (tilpuma vienībā), kas ir līdzvērtīgi x mg/ ķermeņa masas (tilpuma)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Benzoskābe (E 210) un benzoāti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E211, Nātrija benzoāts,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E212, Kālija benzoāts</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09.10.2017.</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Benzoic acid (E 210) and benzoates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 example,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E211, Sodium benzoate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E212, Potassium benzoate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gridSpan w:val="1"/>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Lokāli</w:t>
            </w:r>
          </w:p>
        </w:tc>
        <w:tc>
          <w:tcPr>
            <w:shd w:fill="ffffff"/>
            <w:vAlign w:val="top"/>
            <w:noWrap w:val="true"/>
            <w:vMerge w:val="restart"/>
            <w:gridSpan w:val="1"/>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Benzoskābe/benzoāta sāls var izraisīt lokālu kairinājumu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izraisīt neimunoloģiskas tūlītējas kontaktreakcijas iespējamā holīnerģiskā mehānisma dēļ</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Benzoskābe/benzoāta sāls  var pastiprināt dzelti (dzeltena āda un acis) jaundzimušajiem (līdz 4 nedēļu vecumam)</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Uzsūkšanās caur jaundzimušo nenobriedušo ādu ir nozīmīga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 parenterāli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Benzoskābe/ benzoāta sāls var pastiprināt dzelti (dzeltena āda un acis) jaundzimušajiem (līdz 4 nedēļu vecumam)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Bilirubinēmijas pastiprināšanās pēc tā atvienošanās no albumīna var pastiprināt jaundzimušo dzelti, kas var attīstīties par kodolu dzelti (nekonjugētā bilirubīna nogulsnējumi smadzeņu audos)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satur x mg benzalkonija hlorīda katrā devā (tilpuma vienībā), kas ir līdzvērtīgi x mg/ķermeņa masas (tilpuma)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Benzilspirts</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09.10.2017.</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Benzyl alcohol</w:t>
            </w:r>
          </w:p>
        </w:tc>
        <w:tc>
          <w:tcPr>
            <w:shd w:fill="ffffff"/>
            <w:vAlign w:val="top"/>
            <w:noWrap w:val="true"/>
            <w:vMerge w:val="restart"/>
            <w:gridSpan w:val="1"/>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 parenterāli</w:t>
            </w:r>
          </w:p>
        </w:tc>
        <w:tc>
          <w:tcPr>
            <w:shd w:fill="ffffff"/>
            <w:vAlign w:val="top"/>
            <w:noWrap w:val="true"/>
            <w:vMerge w:val="restart"/>
            <w:gridSpan w:val="1"/>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Benzilspirts ir saistīts ar smagu blakusparādību, tajā skaitā elpošanas traucējumu (ko sauc par smakšanas sindromu – </w:t>
            </w:r>
            <w:r w:rsidR="00000000" w:rsidRPr="00000000" w:rsidDel="00000000">
              <w:rPr>
                <w:i w:val="1"/>
                <w:rtl w:val="0"/>
              </w:rPr>
              <w:t xml:space="preserve">gasping syndrome</w:t>
            </w:r>
            <w:r w:rsidR="00000000" w:rsidRPr="00000000" w:rsidDel="00000000">
              <w:rPr>
                <w:rtl w:val="0"/>
              </w:rPr>
              <w:t xml:space="preserve">) risku maziem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Nedodiet savam jaundzimušajam bērnam (līdz 4 nedēļu vecumam), ja vien to nav ieteicis ārsts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Benzilspirta intravenoza ievadīšana ir saistīta ar nopietnām blakusparādībām un nāvi zīdaiņiem (smakšanas sindroms – </w:t>
            </w:r>
            <w:r w:rsidR="00000000" w:rsidRPr="00000000" w:rsidDel="00000000">
              <w:rPr>
                <w:i w:val="1"/>
                <w:rtl w:val="0"/>
              </w:rPr>
              <w:t xml:space="preserve">gasping syndrome</w:t>
            </w:r>
            <w:r w:rsidR="00000000" w:rsidRPr="00000000" w:rsidDel="00000000">
              <w:rPr>
                <w:rtl w:val="0"/>
              </w:rPr>
              <w:t xml:space="preserve">). Minimālais benzilspirta daudzums, kas izraisa toksicitāti, nav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lieto zīdaiņiem, Zāļu apraksta 4.4. apakšpunktā jābūt brīdinājumam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Nelietot ilgāk par nedēļu maziem bērniem (līdz 3 gadu vecumam), ja vien to nav ieteicis ārsts vai farmaceits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Sakarā ar uzkrāšanos maziem bērniem risks ir paaugstināts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esat grūtniece vai barojat bērnu ar krūti, konsultējieties ar ārstu vai farmaceitu. Tas nepieciešams, tādēļ ka liels daudzums benzilspirta var uzkrāties Jūsu organismā un izraisīt blakusparādības (ko sauc par metabolisko acidozi)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jums ir aknu vai nieru slimība, konsultējieties ar ārstu vai farmaceitu. Tas nepieciešams, tādēļ ka liels daudzums benzilspirta var uzkrāties Jūsu organismā un izraisīt blakusparādības (ko sauc par metabolisko acidozi)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Lieli tilpumi jālieto piesardzīgi un tikai tad, ja nepieciešams, īpaši personām ar aknu vai nieru darbības traucējumiem, jo pastāv uzkrāšanās un toksicitātes (metaboliskas acidozes) risks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Lokāli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Benzilspirts var izraisīt vieglu lokālu kairinājumu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satur x mg benzilspirta katrā devā (tilpuma vienībā), kas ir līdzvērtīgi x mg/ķermeņa masas (tilpuma)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Bergamotes eļļa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 bergaptēnu)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Bergamot oil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(containing bergapten)</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Lokāli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palielināt jutīgumu pret UV gaismu (dabisko un mākslīgo saules gaismu)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Neattiecas, ja eļļa nesatur bergaptēnu</w:t>
            </w:r>
          </w:p>
        </w:tc>
      </w:tr>
      <w:tr>
        <w:tc>
          <w:tcPr>
            <w:shd w:fill="ffffff"/>
            <w:vAlign w:val="top"/>
            <w:noWrap w:val="true"/>
            <w:vMerge w:val="restart"/>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vMerge w:val="restart"/>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Borskābe  ( un borāti)</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29.03.2022.</w:t>
            </w:r>
          </w:p>
        </w:tc>
        <w:tc>
          <w:tcPr>
            <w:shd w:fill="ffffff"/>
            <w:vAlign w:val="top"/>
            <w:noWrap w:val="true"/>
            <w:vMerge w:val="restart"/>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gridSpan w:val="1"/>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mg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bora (B) dienā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nedrīkst lietot bērniem, jaunākiem par 2 gadiem, bez ārsta ieteikuma, jo tās satur boru un var izraisīt fertilitātes traucējumus nākotnē</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mg bora (B)  = 5,7 mg borskābes.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Sīkākus aprēķinus skatīt Q&amp;A (jautājumu un atbilžu) dokumentā (EMA/CHMP/619104/2013 Rev.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Bora daudzums, kuru pārsniedzot var rasties fertilitātes traucējumi, sadalījumā pēc vecuma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Vecums/Drošuma robežvērtība</w:t>
            </w:r>
            <w:r>
              <w:tab/>
            </w:r>
            <w:r>
              <w:br/>
            </w:r>
            <w:r w:rsidR="00000000" w:rsidRPr="00000000" w:rsidDel="00000000">
              <w:rPr>
                <w:rtl w:val="0"/>
              </w:rPr>
              <w:t xml:space="preserve">&lt; 2 gadi           1 mg B dienā </w:t>
            </w:r>
            <w:r>
              <w:tab/>
            </w:r>
            <w:r>
              <w:br/>
            </w:r>
            <w:r w:rsidR="00000000" w:rsidRPr="00000000" w:rsidDel="00000000">
              <w:rPr>
                <w:rtl w:val="0"/>
              </w:rPr>
              <w:t xml:space="preserve">&lt; 12 gadi         3 mg B dienā</w:t>
            </w:r>
            <w:r>
              <w:tab/>
            </w:r>
            <w:r>
              <w:br/>
            </w:r>
            <w:r w:rsidR="00000000" w:rsidRPr="00000000" w:rsidDel="00000000">
              <w:rPr>
                <w:rtl w:val="0"/>
              </w:rPr>
              <w:t xml:space="preserve">&lt; 18 gadi**     7 mg B dienā </w:t>
            </w:r>
            <w:r>
              <w:tab/>
            </w:r>
            <w:r>
              <w:br/>
            </w:r>
            <w:r w:rsidR="00000000" w:rsidRPr="00000000" w:rsidDel="00000000">
              <w:rPr>
                <w:rtl w:val="0"/>
              </w:rPr>
              <w:t xml:space="preserve">≥ 18 gadi**     10 mg B dienā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Šis daudzums var būt kaitīgs arī nedzimušam bērnam.                                                                         </w:t>
            </w:r>
            <w:r>
              <w:tab/>
            </w:r>
            <w:r>
              <w:br/>
            </w:r>
            <w:r w:rsidR="00000000" w:rsidRPr="00000000" w:rsidDel="00000000">
              <w:rPr>
                <w:rtl w:val="0"/>
              </w:rPr>
              <w:t xml:space="preserve">Pamatojoties uz tabulā iepriekš minēto informāciju, zāļu apraksta 4.4. un 4.6. apakšpunktā jāiekļauj atbilstoši brīdinājumi (ja nepieciešams)</w:t>
            </w:r>
          </w:p>
        </w:tc>
      </w:tr>
      <w:tr>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mg</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bora (B) dienā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nedrīkst lietot bērniem, jaunākiem par 12 gadiem, bez ārsta ieteikuma, jo tās satur boru un var izraisīt fertilitātes traucējumus nākotnē</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Skatīt komentārus iepriekš</w:t>
            </w:r>
            <w:r>
              <w:br/>
            </w:r>
            <w:r w:rsidR="00000000" w:rsidRPr="00000000" w:rsidDel="00000000">
              <w:rPr>
                <w:rtl w:val="0"/>
              </w:rPr>
              <w:t xml:space="preserve"> </w:t>
            </w:r>
          </w:p>
        </w:tc>
      </w:tr>
      <w:tr>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mg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bora (B) dienā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nedrīkst lietot bērniem, jaunākiem par 18 gadiem, bez ārsta ieteikuma, jo tās satur boru un var izraisīt fertilitātes traucējumus nākotnē.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Jūs esat grūtniece, pirms šo zāļu lietošanas konsultējieties ar ārstu, jo zāles satur boru, kas var būt kaitīgs Jūsu bērnam</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Skatīt komentārus iepriekš</w:t>
            </w:r>
            <w:r>
              <w:br/>
            </w:r>
            <w:r w:rsidR="00000000" w:rsidRPr="00000000" w:rsidDel="00000000">
              <w:rPr>
                <w:rtl w:val="0"/>
              </w:rPr>
              <w:t xml:space="preserve"> </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Bronopols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Bronopol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Lokāli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izraisīt lokālas ādas reakcijas (piemēram, kontaktdermatītu)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Butilēts hidroksianizols (E320)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Butylated hydroxyanisole </w:t>
            </w:r>
            <w:r w:rsidR="00000000" w:rsidRPr="00000000" w:rsidDel="00000000">
              <w:rPr>
                <w:rtl w:val="0"/>
              </w:rPr>
              <w:t xml:space="preserve">(E320)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Lokāli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izraisīt lokālas ādas reakcijas (piemēram, kontaktdermatītu) vai acu un gļotādu kairinājumu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Butilēts hidroksitoluols (E321)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Butylated hydroxytoluene</w:t>
            </w:r>
            <w:r w:rsidR="00000000" w:rsidRPr="00000000" w:rsidDel="00000000">
              <w:rPr>
                <w:rtl w:val="0"/>
              </w:rPr>
              <w:t xml:space="preserve"> (E321)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Lokāli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izraisīt lokālas ādas reakcijas (piemēram, kontaktdermatītu) vai acu un gļotādu kairinājumu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Cetostearilspirts,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ieskaitot cetilspirtu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Cetostearyl alcohol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including Cetyl alcohol</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Lokāli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izraisīt lokālas ādas reakcijas (piemēram, kontaktdermatītu)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Ciklodekstrīni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piemēram:</w:t>
            </w:r>
            <w:r>
              <w:tab/>
            </w:r>
            <w:r>
              <w:br/>
            </w:r>
            <w:r w:rsidR="00000000" w:rsidRPr="00000000" w:rsidDel="00000000">
              <w:rPr>
                <w:rtl w:val="0"/>
              </w:rPr>
              <w:t xml:space="preserve">Alfa dekstrīns</w:t>
            </w:r>
            <w:r>
              <w:tab/>
            </w:r>
            <w:r>
              <w:br/>
            </w:r>
            <w:r w:rsidR="00000000" w:rsidRPr="00000000" w:rsidDel="00000000">
              <w:rPr>
                <w:rtl w:val="0"/>
              </w:rPr>
              <w:t xml:space="preserve">Bēta dekstrīns (E 459)</w:t>
            </w:r>
            <w:r>
              <w:tab/>
            </w:r>
            <w:r>
              <w:br/>
            </w:r>
            <w:r w:rsidR="00000000" w:rsidRPr="00000000" w:rsidDel="00000000">
              <w:rPr>
                <w:rtl w:val="0"/>
              </w:rPr>
              <w:t xml:space="preserve">γ-ciklodekstrīns</w:t>
            </w:r>
            <w:r>
              <w:tab/>
            </w:r>
            <w:r>
              <w:br/>
            </w:r>
            <w:r w:rsidR="00000000" w:rsidRPr="00000000" w:rsidDel="00000000">
              <w:rPr>
                <w:rtl w:val="0"/>
              </w:rPr>
              <w:t xml:space="preserve">Sulfobutilētera β-ciklodekstrīns (SBE-β-CD)</w:t>
            </w:r>
            <w:r>
              <w:tab/>
            </w:r>
            <w:r>
              <w:br/>
            </w:r>
            <w:r w:rsidR="00000000" w:rsidRPr="00000000" w:rsidDel="00000000">
              <w:rPr>
                <w:rtl w:val="0"/>
              </w:rPr>
              <w:t xml:space="preserve">Hidroksipropilbētadekstrīns</w:t>
            </w:r>
            <w:r>
              <w:tab/>
            </w:r>
            <w:r>
              <w:br/>
            </w:r>
            <w:r w:rsidR="00000000" w:rsidRPr="00000000" w:rsidDel="00000000">
              <w:rPr>
                <w:rtl w:val="0"/>
              </w:rPr>
              <w:t xml:space="preserve">Neselektīvi metilēts β-ciklodekstrīns (RM-β-CD)</w:t>
            </w:r>
            <w:r>
              <w:tab/>
            </w:r>
            <w:r>
              <w:br/>
            </w:r>
            <w:r w:rsidR="00000000" w:rsidRPr="00000000" w:rsidDel="00000000">
              <w:rPr>
                <w:rtl w:val="0"/>
              </w:rPr>
              <w:t xml:space="preserve"> </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09.10.2017.</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Cyclodextrins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e.g.: Alfadex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Betadex (E 459)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γ-cyclodextrin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Sulfobutyl-ether-βcyclodextrin (SBE-β-CD)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Hydroxypropyl betadex Randomly methylated βcyclodextrin (RM-β-CD)</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 mg/kg/dienā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Ciklodekstrīni var izraisīt gremošanas traucējumus, piemēram, caureju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Lielās devās ciklodekstrīni var izraisīt atgriezenisku caureju un </w:t>
            </w:r>
            <w:r w:rsidR="00000000" w:rsidRPr="00000000" w:rsidDel="00000000">
              <w:rPr>
                <w:i w:val="1"/>
                <w:rtl w:val="0"/>
              </w:rPr>
              <w:t xml:space="preserve">caecum</w:t>
            </w:r>
            <w:r w:rsidR="00000000" w:rsidRPr="00000000" w:rsidDel="00000000">
              <w:rPr>
                <w:rtl w:val="0"/>
              </w:rPr>
              <w:t xml:space="preserve"> paplašināšanos dzīvniekiem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Parenterāli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200/mg/kg/dienā un lietojot &gt; 2 nedēļas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jums ir nieru slimība, pirms šo zāļu lietošanas konsultējieties ar ārstu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 līdz 2 gadu vecumam lēnāka glomerulu darbība var aizsargāt pret nieru toksicitāti, bet var izraisīt ciklodekstrīnu līmeņa paaugstināšanos asinīs.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Pacientiem ar vidēji smagiem un smagiem nieru darbības traucējumiem ciklodekstrīni var uzkrāties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mg/kg/dienā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satur x mg </w:t>
            </w:r>
            <w:r w:rsidR="00000000" w:rsidRPr="00000000" w:rsidDel="00000000">
              <w:rPr>
                <w:shd w:fill="#ffffff" w:val="clear"/>
                <w:rtl w:val="0"/>
              </w:rPr>
              <w:t xml:space="preserve">ciklodekstrīna</w:t>
            </w:r>
            <w:r w:rsidR="00000000" w:rsidRPr="00000000" w:rsidDel="00000000">
              <w:rPr>
                <w:shd w:fill="#ffffff" w:val="clear"/>
                <w:rtl w:val="0"/>
              </w:rPr>
              <w:t xml:space="preserve"> </w:t>
            </w:r>
            <w:r w:rsidR="00000000" w:rsidRPr="00000000" w:rsidDel="00000000">
              <w:rPr>
                <w:rtl w:val="0"/>
              </w:rPr>
              <w:t xml:space="preserve">katrā devā (tilpuma vienībā), kas ir līdzvērtīgi x mg/ķermeņa masas (tilpuma)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Ciklodekstrīni (CD) ir palīgvielas, kas var ietekmēt aktīvās vielas un citu zāļu īpašības (piemēram, toksicitāti vai penetrāciju ādā). CD drošuma aspekti ir izvērtēti zāļu izstrādes un drošuma novērtējuma laikā un skaidri norādīti zāļu aprakstā.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CD ietekmi uz &lt; 2 gadus veciem bērniem nav pietiekama. Tādēļ risks/ieguvums pacientam jāizvērtē individuāli katrā noteiktā gadījumā.</w:t>
            </w:r>
            <w:r>
              <w:tab/>
            </w:r>
            <w:r>
              <w:br/>
            </w:r>
            <w:r w:rsidR="00000000" w:rsidRPr="00000000" w:rsidDel="00000000">
              <w:rPr>
                <w:rtl w:val="0"/>
              </w:rPr>
              <w:t xml:space="preserve"> </w:t>
            </w:r>
            <w:r>
              <w:tab/>
            </w:r>
            <w:r>
              <w:br/>
            </w:r>
            <w:r w:rsidR="00000000" w:rsidRPr="00000000" w:rsidDel="00000000">
              <w:rPr>
                <w:rtl w:val="0"/>
              </w:rPr>
              <w:t xml:space="preserve">Pamatojoties uz pētījumiem ar dzīvniekiem un pieredzi cilvēkiem, CD kaitīgā ietekme nav sagaidāma, lietojot devas, kas mazākas par 20 mg/kg dienā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Dimetilsulfoksīds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Dimethyl sulphoxide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Lokāli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būt ādas kairinātājs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Etilspirts</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22.11.2019.</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Ethanol</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r>
              <w:tab/>
            </w:r>
            <w:r>
              <w:br/>
            </w:r>
            <w:r w:rsidR="00000000" w:rsidRPr="00000000" w:rsidDel="00000000">
              <w:rPr>
                <w:rtl w:val="0"/>
              </w:rPr>
              <w:t xml:space="preserve">Parenterāli</w:t>
            </w:r>
            <w:r>
              <w:tab/>
            </w:r>
            <w:r>
              <w:br/>
            </w:r>
            <w:r w:rsidR="00000000" w:rsidRPr="00000000" w:rsidDel="00000000">
              <w:rPr>
                <w:rtl w:val="0"/>
              </w:rPr>
              <w:t xml:space="preserve">Inhalāciju veidā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satur x mg alkohola (etilspirta) katrā devas vienībā (tilpuma vienībā), kas ir līdzvērtīgi x mg/svars (tilpums) (y% w/&lt;w&gt;&lt;v&gt;). Etilspirta daudzums šo zāļu devā (tilpumā) ir līdzvērtīgs mazāk kā A ml alus vai B ml vīna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Nelielais alkohola daudzums zālēs neizraisīs ievērojamu ietekmi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etilspirts izmantots ražošanas procesos (piemēram, tabletes apvalkā) vai kā ekstrakcijas šķīdinātājs un tiek iztvaicēts (zem ICH Q3C noteiktā līmeņa), etilspirta pieminēšana lietošanas instrukcijā nav nepieciešama.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aprēķinātu līdzvērtīgo alus un vīna tilpumu, jāpieņem, ka etilspirta saturs alū ir 5 % v/v (alkohols pēc tilpuma), kas ir līdzvērtīgi 4 % w/v, un 12,5 % v/v vai 10 % w/v vīnā (aptuvenais etilspirta īpatnējais svars ir 0,8).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Alus un vīna tilpumi (A un B) jānoapaļo uz tuvāko veselo skaitli</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mg/kg katrā devā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satur x mg alkohola (etilspirta) katrā devas vienībā (tilpuma vienībā), kas ir līdzvērtīgi x mg/svars (tilpums) (y% w/&lt;w&gt;&lt;v&gt;). Etilspirta daudzums šo zāļu &lt;devā&gt;&lt;tilpumā&gt; ir līdzvērtīgs mazāk kā A ml alus vai B ml vīna.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Alkohola daudzums zālēs, visticamāk, neizraisīs ietekmi uz pieaugušajiem un pusaudžiem, un ietekme uz bērniem, visticamāk, nebūs ievērojama. Tas var ietekmēt jaunākus bērnus, piemēram, izraisīt miegainību.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Alkohola daudzums zālēs var ietekmēt citu zāļu iedarbību. Pastāstiet ārstam vai farmaceitam, ja lietojat citas zāles.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jūs esat grūtniece vai barojat bērnu ar krūti, pirms šo zāļu lietošanas konsultējieties ar ārstu vai farmaceitu.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jums ir atkarība no alkohola, pirms šo zāļu lietošanas konsultējieties ar ārstu vai farmaceitu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aprēķinātu līdzvērtīgo alus un vīna tilpumu, jāpieņem, ka etilspirta saturs alū ir 5 % v/v (alkohols pēc tilpuma), kas ir līdzvērtīgi 4 % w/v, un 12,5% v/v vai 10% w/v vīnā (aptuvenais etilspirta īpatnējais svars ir 0,8). Alus un vīna tilpumi jānoapaļo uz tuvāko veselo skaitli.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nepieciešams, mijiedarbība ar etilspirtu jānorāda zāļu aprakstā (4.5. apakšpunktā).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Ieteikumi informācijai zāļu aprakstā:</w:t>
            </w:r>
            <w:r>
              <w:tab/>
            </w:r>
            <w:r>
              <w:br/>
            </w:r>
            <w:r w:rsidR="00000000" w:rsidRPr="00000000" w:rsidDel="00000000">
              <w:rPr>
                <w:rtl w:val="0"/>
              </w:rPr>
              <w:t xml:space="preserve">Šo zāļu deva (izvēlēties maksimālo devu), lietota (A gadu vecam bērnam ar ķermeņa masu B kg vai pieaugušajam ar ķermeņa masu 70 kg), izraisīs C mg/kg etilspirta iedarbību, kas var izraisīt alkohola koncentrācijas asinīs pieaugumu par aptuveni D mg/100 ml (skatīt EMA/CHMP/43486/2018 ziņojuma 1.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Salīdzinājumam: pieaugušajam, kurš izdzer glāzi vīna vai 500 ml alus, alkohola koncentrācija asinīs būs apmēram 50 mg/100 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Vienlaicīga lietošana ar zālēm, kas satur, piemēram, propilēnglikolu vai etilspirtu, var izraisīt etilspirta uzkrāšanos un izraisīt blakusparādības, it īpaši maziem bērniem ar zemu vai nenobriedušu vielmaiņas kapacitāti.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deva tiek lietota ilgākā laika periodā (piemēram, lēna infūzija vairāku stundu garumā), alkohola koncentrācijas asinīs pieaugums būs mazāks un etilspirta izraisītā ietekme var būt vājāka. Šādos gadījumos lietošanas instrukcijā un zāļu aprakstā jāiekļauj teikums: Tā kā šīs zāles parasti tiek lietotas lēni xx stundu laikā, alkohola izraisītā ietekme var būt samazināta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mg/kg katrā devā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satur x mg alkohola (etilspirta) katrā devas vienībā [tilpuma vienībā], kas ir līdzvērtīgi x mg/svars (tilpums) (y% w/&lt;w&gt;&lt;v&gt;). Etilspirta daudzums šo zāļu &lt;devā&gt;&lt;tilpumā&gt; ir līdzvērtīgs mazāk kā A ml alus vai B ml vīna.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Alkohola daudzums zālēs, visticamāk, izraisīs ietekmi uz bērniem, kas var izpausties kā miegainība un uzvedības izmaiņas. Tā arī var ietekmēt spēju koncentrēties un piedalīties fiziskās aktivitātēs.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Alkohola daudzums zālēs var ietekmēt spēju vadīt transportlīdzekļus un apkalpot mehānismus. Tas tā notiek, jo var būt ietekme uz jūsu spriestspēju un reakcijas ātrumu.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jums ir epilepsija vai aknu darbības traucējumi, pirms šo zāļu lietošanas konsultējieties ar ārstu vai farmaceitu.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Alkohola daudzums zālēs var ietekmēt citu zāļu iedarbību. Pastāstiet ārstam vai farmaceitam, ja lietojat citas zāles.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jūs esat grūtniece vai barojat bērnu ar krūti, pirms šo zāļu lietošanas konsultējieties ar ārstu vai farmaceitu.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jums ir atkarība no alkohola, pirms šo zāļu lietošanas konsultējieties ar ārstu vai farmaceitu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Skatīt komentārus iepriekš</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 ādas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satur x mg alkohola (etilspirta) katrā devas vienībā [tilpuma vienībā], kas ir līdzvērtīgi x mg/svars [tilpums] (y% w/&lt;w&gt;&lt;v&gt;).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Tas var izraisīt dedzinošu sajūtu uz bojātas ādas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Jaundzimušajiem (priekšlaikus un laikā dzimušajiem) augsta etilspirta koncentrācija var izraisīt smagas lokālas reakcijas un sistēmisku toksicitāti nozīmīgas uzsūkšanās caur nenobriedušu ādu dēļ (īpaši zem ciešiem nosedzošiem pārsējiem). Ja piemērojams, atbilstošs brīdinājums jāiekļauj zāļu aprakstā/lietošanas instrukcijā.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Atkarībā no zāļu veida un etilspirta koncentrācijas, var būt nepieciešams brīdinājums: "Uzliesmojošs". Jāapsver brīdinājums par lietošanu atklātas liesmas, aizdegtas cigaretes vai dažu ierīču (piemēram, matu žāvētāju) tuvumā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shd w:fill="#ffffff" w:val="clear"/>
                <w:rtl w:val="0"/>
              </w:rPr>
              <w:t xml:space="preserve">18.</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Fenilalanīns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09.10.2017.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19.11.2018.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29.05.2020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Phenyalalanine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satur x mg fenilalanīna katrā devā (tilpuma vienībā), kas ir līdzvērtīgi x mg/svars (tilpums).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Fenilalanīns var būt kaitīgs, ja jums ir fenilketonūrija (FKU), kas ir reta ģenētiska slimība, kuras gadījumā fenilalanīns uzkrājas, jo organisms nespēj to pareizi izvadīt</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shd w:fill="#ffffff" w:val="clear"/>
                <w:rtl w:val="0"/>
              </w:rPr>
              <w:t xml:space="preserve">19.</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Formaldehīds</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Formaldehyde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Lokāli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izraisīt lokālas ādas reakcijas (piemēram, kontaktdermatītu)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izraisīt kuņģa darbības traucējumus un caureju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shd w:fill="#ffffff" w:val="clear"/>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Fosfātu buferi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09.10.2017.</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Phosphate buffers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Okulāri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satur x mg fosfātu katrā devā (tilpuma vienībā), kas ir līdzvērtīgi x mg/ svars (tilpums).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jums ir nopietns caurspīdīgā slāņa, kas atrodas acs priekšējā daļā (radzene), bojājums, ļoti retos gadījumos fosfāti var izraisīt duļķainus plankumus uz radzenes, kas rodas, nogulsnējoties kalcijam terapijas laikā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Atbilstošs norādījums zāļu apraksta 4.8. apakšpunktā (Nevēlamās blakusparādības):</w:t>
            </w:r>
            <w:r>
              <w:br/>
            </w:r>
            <w:r w:rsidR="00000000" w:rsidRPr="00000000" w:rsidDel="00000000">
              <w:rPr>
                <w:rtl w:val="0"/>
              </w:rPr>
              <w:t xml:space="preserve">''Ļoti retos gadījumos saistībā ar fosfātus saturošu acu pilienu lietošanu dažiem pacientiem ar būtiskiem radzenes bojājumiem ziņots par radzenes kalsifikāciju''</w:t>
            </w:r>
          </w:p>
        </w:tc>
      </w:tr>
      <w:tr>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shd w:fill="#ffffff" w:val="clear"/>
                <w:rtl w:val="0"/>
              </w:rPr>
              <w:t xml:space="preserve">21.</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Fruktoze</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09.10.2017.</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Fructose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Parenterāli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satur x mg fruktozes katrā devā (tilpuma vienībā), kas ir līdzvērtīgi x mg/svars (tilpums)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Jāņem vērā papildu ietekme no vienlaicīgi lietotiem fruktozi (vai sorbītu) saturošiem produktiem un fruktozes (vai sorbīta) uzņemšanas ar uzturu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zāles ir kontaktā ar zobiem (šķidrumi iekšķīgai lietošanai, sūkājamās tabletes vai košļājamās tabletes) un paredzētas ilgstošai lietošanai, norāda:</w:t>
            </w:r>
            <w:r>
              <w:br/>
            </w:r>
            <w:r w:rsidR="00000000" w:rsidRPr="00000000" w:rsidDel="00000000">
              <w:rPr>
                <w:rtl w:val="0"/>
              </w:rPr>
              <w:t xml:space="preserve">Fruktoze var bojāt zobus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Iekšķīgi lietojamas zāles, kas paredzētas biežai vai ilgstošai lietošanai, piemēram, divas nedēļas vai ilgāk</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Intravenozi (i.v.)</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jums (vai jūsu bērnam) ir reta ģenētiska slimība – iedzimta fruktozes nepanesība, jūs (vai jūsu bērns) nedrīkstat lietot šīs zāles. Pacienti ar iedzimtu fruktozes nepanesību nevar organismā sadalīt fruktozi, kas ir šo zāļu sastāvā, un tas var izraisīt nopietnas blakusparādības.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saņemat šīs zāles, jums jāpastāsta ārstam, ja jums (vai jūsu bērnam) ir iedzimta fruktozes nepanesība, vai ja jūsu bērns vairs nevar lietot saldus ēdienus vai dzērienus, jo tie izraisa sliktu dūšu, vemšanu vai citas nepatīkamas sajūtas kā vēdera pūšanos, kuņģa spazmas vai caureju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Pacienti ar iedzimtu fruktozes nepanesību nedrīkst lietot šīs zāles, ja vien tas nav absolūti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Jaundzimušajiem un maziem bērniem (līdz 2 gadu vecumam) var vēl nebūt diagnosticēta iedzimta fruktozes nepanesība. Zāles (kuras satur fruktozi), ievadītas intravenozi, var būt dzīvībai bīstamas un tām ir jābūt kontrindicētām šajā populācijā, izņemot gadījumus, ja ir absolūta klīniska nepieciešamība un nav pieejamu alternatīvu.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šo zāļu lietošanas no katra pacienta jāievāc detalizēta anamnēze attiecībā uz iedzimtas fruktozes nepanesības simptomiem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 parenterāli (izņemot intravenozu ievadīšanas veidu)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mg/kg/dienā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ārsts ir teicis, ka jums (vai jūsu bērnam) ir kāda cukura nepanesība, vai jums ir diagnosticēta reta ģenētiska slimība – iedzimta fruktozes nepanesība, kuras gadījumā organismā nesadalās fruktoze –, pirms lietojat vai saņemat šīs zāles, konsultējieties ar ārstu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Pacienti ar iedzimtu fruktozes nepanesību nedrīkst lietot/saņemt šīs zāles</w:t>
            </w:r>
          </w:p>
        </w:tc>
      </w:tr>
      <w:tr>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Galaktoze</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Galactose</w:t>
            </w:r>
          </w:p>
        </w:tc>
        <w:tc>
          <w:tcPr>
            <w:shd w:fill="ffffff"/>
            <w:vAlign w:val="top"/>
            <w:noWrap w:val="true"/>
            <w:vMerge w:val="restart"/>
            <w:gridSpan w:val="1"/>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Parenterāli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ārsts ir teicis, ka jums ir kāda cukura nepanesība, pirms lietojat šīs zāles, konsultējieties ar ārstu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aprakstā norāda: Šīs zāles nevajadzētu lietot pacientiem ar retu iedzimtu galaktozes nepanesību, piemēram, galaktozēmiju vai ar glikozes–galaktozes malabsorbciju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g</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 x g galaktozes katrā devā.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Tas jāievēro pacientiem ar cukura diabētu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Glicerīns (E 422)</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Glycerol (E 422)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g/devā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radīt galvassāpes, kuņģa darbības traucējumus un caureju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Rektāli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būt viegla caureju veicinoša iedarbība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Glikoze</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Glucose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ārsts ir teicis, ka jums ir kāda cukura nepanesība, pirms lietojat šīs zāles, konsultējieties ar ārstu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aprakstā norāda: Šīs zāles nevajadzētu lietot pacientiem ar retu iedzimtu glikozes–galaktozes malabsorbciju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Parenterāli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g</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 x g glikozes katrā devā.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Tas jāievēro pacientiem ar cukura diabētu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Šķidrumi iekšķīgai lietošanai, sūkājamās tabletes un košļājamās tabletes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kaitēt zobiem</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jāiekļauj tikai tad, ja zāles ordinē ilgstošai lietošanai, piemēram, divas nedēļas vai vairāk</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Heparīns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palīgviela)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Heparin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(as an exipient)</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Parenterāli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izraisīt alerģiskas reakcijas un samazināt asins šūnu daudzumu, kas var ietekmēt asins sarecēšanas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Heparīnu saturošas zāles nevajadzētu lietot pacientiem, kuriem ir bijušas heparīna izraisītas alerģiskas reakcijas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Hlorkrezols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Chlorocresol</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Lokāli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Parenterāli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izraisīt alerģiskas reakcijas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Invertcukurs</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Invert sugar</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ārsts ir teicis, ka jums ir kāda cukura nepanesība, pirms lietojat šīs zāles, konsultējieties ar ārstu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aprakstā norāda: Šīs zāles nevajadzētu lietot pacientiem ar retu iedzimtu fruktozes nepanesību vai ar glikozes–galaktozes malabsorbciju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g</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 x g fruktozes un glikozes maisījuma katrā devā.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Tas jāievēro pacientiem ar cukura diabētu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Šķidrumi iekšķīgai lietošanai, sūkājamās tabletes un košļājamās tabletes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kaitēt zobiem</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jāietver, ja zāles paredzētas ilgstošai lietošanai, t. i., divas nedēļas un vairāk</w:t>
            </w:r>
          </w:p>
        </w:tc>
      </w:tr>
      <w:tr>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29.05.2020.</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Potassium</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Parenterāli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Mazāk par 1 mmol katrā devā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Zāles satur kāliju mazāk par 1 mmol (39 mg) katrā devā. Būtībā tās ir kāliju nesaturošas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Robeža ir pamatota ar kopējo K</w:t>
            </w:r>
            <w:r w:rsidR="00000000" w:rsidRPr="00000000" w:rsidDel="00000000">
              <w:rPr>
                <w:vertAlign w:val="superscript"/>
                <w:rtl w:val="0"/>
              </w:rPr>
              <w:t xml:space="preserve">+</w:t>
            </w:r>
            <w:r w:rsidR="00000000" w:rsidRPr="00000000" w:rsidDel="00000000">
              <w:rPr>
                <w:i w:val="1"/>
                <w:vertAlign w:val="superscript"/>
                <w:rtl w:val="0"/>
              </w:rPr>
              <w:t xml:space="preserve"> </w:t>
            </w:r>
            <w:r w:rsidR="00000000" w:rsidRPr="00000000" w:rsidDel="00000000">
              <w:rPr>
                <w:rtl w:val="0"/>
              </w:rPr>
              <w:t xml:space="preserve">daudzumu zālēs.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 svarīgi pediatrijas devās lietojamām zālēm, lai ārstiem būtu pilna informācija un vecāki būtu informēti par zemo K</w:t>
            </w:r>
            <w:r w:rsidR="00000000" w:rsidRPr="00000000" w:rsidDel="00000000">
              <w:rPr>
                <w:vertAlign w:val="superscript"/>
                <w:rtl w:val="0"/>
              </w:rPr>
              <w:t xml:space="preserve">+</w:t>
            </w:r>
            <w:r w:rsidR="00000000" w:rsidRPr="00000000" w:rsidDel="00000000">
              <w:rPr>
                <w:i w:val="1"/>
                <w:vertAlign w:val="superscript"/>
                <w:rtl w:val="0"/>
              </w:rPr>
              <w:t xml:space="preserve"> </w:t>
            </w:r>
            <w:r w:rsidR="00000000" w:rsidRPr="00000000" w:rsidDel="00000000">
              <w:rPr>
                <w:vertAlign w:val="superscript"/>
                <w:rtl w:val="0"/>
              </w:rPr>
              <w:t xml:space="preserve"> </w:t>
            </w:r>
            <w:r w:rsidR="00000000" w:rsidRPr="00000000" w:rsidDel="00000000">
              <w:rPr>
                <w:rtl w:val="0"/>
              </w:rPr>
              <w:t xml:space="preserve"> līmeni zālēs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Parenterāli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mmol katrā devā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Zāles satur x mmol (vai y mg) kālija katrā devā.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Jāievēro pacientiem ar nieru mazspēju vai pacientiem ar kontrolētu kālija diētu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Intravenozi (i.v.)</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mmol/l</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izraisīt sāpes injekcijas vietā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29.</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Ksilīts (E967)</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Xylitol (E 967)</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g</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būt caureju veicinoša iedarbība.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Kaloriju daudzums 2,4 kkal/g ksilīta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30.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Kviešu ciete (satur glutēnu)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09.10.2017.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19.11.2018.</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Wheat starch (containing gluten)</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satur tikai ļoti nelielu glutēna daudzumu (no kviešu cietes).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Tās jāuzskata par ''glutēnu nesaturošām'', un maz ticams, ka tās izraisīs traucējumus, ja jums ir celiakija.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deva satur ne vairāk kā x mikrogramus glutēna.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Nelietojiet šīs zāles, ja jums ir alerģija pret kviešiem (atšķirīga no celiakijas).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Paziņojumu ''nesatur glutēnu'' piemēro, ja glutēna saturs zālēs ir mazāk nekā 20 ppm</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Palīgvielas nosaukumam uz iepakojuma jābūt: ''Kviešu ciete''</w:t>
            </w:r>
          </w:p>
        </w:tc>
      </w:tr>
      <w:tr>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Laktīts (E966)</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Lactitol</w:t>
            </w:r>
            <w:r w:rsidR="00000000" w:rsidRPr="00000000" w:rsidDel="00000000">
              <w:rPr>
                <w:rtl w:val="0"/>
              </w:rPr>
              <w:t xml:space="preserve"> </w:t>
            </w:r>
            <w:r w:rsidR="00000000" w:rsidRPr="00000000" w:rsidDel="00000000">
              <w:rPr>
                <w:i w:val="1"/>
                <w:rtl w:val="0"/>
              </w:rPr>
              <w:t xml:space="preserve">(E 966)</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ārsts ir teicis, ka jums ir kāda cukura nepanesība, pirms lietojat šīs zāles, konsultējieties ar ārstu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aprakstā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nevajadzētu lietot pacientiem ar retu iedzimtu fruktozes vai galaktozes nepanesību, galaktozēmiju vai glikozes–galaktozes malabsorbciju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g</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būt viegla caureju veicinoša iedarbība.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Kaloriju daudzums 2,1 kkal/g laktīta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32.</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Laktoze</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Lactose</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ārsts ir teicis, ka jums ir kāda cukura nepanesība, pirms lietojat šīs zāles, konsultējieties ar ārstu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aprakstā norāda: Šīs zāles nevajadzētu lietot pacientiem ar retu iedzimtu galaktozes nepanesību, </w:t>
            </w:r>
            <w:r w:rsidR="00000000" w:rsidRPr="00000000" w:rsidDel="00000000">
              <w:rPr>
                <w:i w:val="1"/>
                <w:rtl w:val="0"/>
              </w:rPr>
              <w:t xml:space="preserve">Lapp </w:t>
            </w:r>
            <w:r w:rsidR="00000000" w:rsidRPr="00000000" w:rsidDel="00000000">
              <w:rPr>
                <w:rtl w:val="0"/>
              </w:rPr>
              <w:t xml:space="preserve">laktāzes deficītu vai glikozes–galaktozes malabsorbciju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g</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 x g laktozes (x/2 g glikozes un x/2 g galaktozes) katrā devā.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Tas jāievēro pacientiem ar cukura diabētu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33.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Latekss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Dabīgā gumija (latekss)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Latex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Natural Rubber (latex)</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zāļu iepakojums satur lateksu (gumiju). Var izraisīt smagas alerģiskas reakcijas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tipiskā palīgviela, bet brīdinājums ir nepieciešams</w:t>
            </w:r>
          </w:p>
        </w:tc>
      </w:tr>
      <w:tr>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34.</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Maltīts (E965)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Izomalts (E953) (izomaltīts)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Maltīts, šķidrais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(hidrogenēts glikozes sīrups) </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19.11.2018.</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Maltitol </w:t>
            </w:r>
            <w:r w:rsidR="00000000" w:rsidRPr="00000000" w:rsidDel="00000000">
              <w:rPr>
                <w:rtl w:val="0"/>
              </w:rPr>
              <w:t xml:space="preserve">(E965)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Isomalt </w:t>
            </w:r>
            <w:r w:rsidR="00000000" w:rsidRPr="00000000" w:rsidDel="00000000">
              <w:rPr>
                <w:rtl w:val="0"/>
              </w:rPr>
              <w:t xml:space="preserve"> (E953) (Isomaltitol)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Maltitol Liquid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(hydrogenated</w:t>
            </w:r>
            <w:r>
              <w:tab/>
            </w:r>
            <w:r>
              <w:br/>
            </w:r>
            <w:r w:rsidR="00000000" w:rsidRPr="00000000" w:rsidDel="00000000">
              <w:rPr>
                <w:i w:val="1"/>
                <w:rtl w:val="0"/>
              </w:rPr>
              <w:t xml:space="preserve">glucose syrup)</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ārsts ir teicis, ka jums ir kāda cukura nepanesība, pirms lietojat šīs zāles, konsultējieties ar ārstu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aprakstā norāda: Šīs zāles nevajadzētu lietot pacientiem ar retu iedzimtu fruktozes nepanesību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g</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būt viegla caureju veicinoša iedarbība.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Kaloriju daudzums 2,3 kkal/g maltīta (izomaltīta)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Mannīts (E421)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Mannitol</w:t>
            </w:r>
            <w:r w:rsidR="00000000" w:rsidRPr="00000000" w:rsidDel="00000000">
              <w:rPr>
                <w:rtl w:val="0"/>
              </w:rPr>
              <w:t xml:space="preserve"> (E421)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g</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būt viegla caureju veicinoša iedarbība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Nātrijs</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09.10.2017.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Sadaļā "iekšķīgi" 29.05.2020.</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Sodium</w:t>
            </w:r>
          </w:p>
        </w:tc>
        <w:tc>
          <w:tcPr>
            <w:shd w:fill="ffffff"/>
            <w:vAlign w:val="top"/>
            <w:noWrap w:val="true"/>
            <w:vMerge w:val="restart"/>
            <w:gridSpan w:val="1"/>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Parenterāli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Mazāk par</w:t>
            </w:r>
            <w:r>
              <w:tab/>
            </w:r>
            <w:r>
              <w:br/>
            </w:r>
            <w:r w:rsidR="00000000" w:rsidRPr="00000000" w:rsidDel="00000000">
              <w:rPr>
                <w:rtl w:val="0"/>
              </w:rPr>
              <w:t xml:space="preserve">1 mmol (23 mg) katrā devā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satur mazāk par 1 mmol nātrija (23 mg) katrā devā (tilpuma vienībā). Būtībā tās ir ''nātriju nesaturošas''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mmol nātrija (Na) = 23 mg Na = 58,4 mg sāls (Na Cl).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Robeža ir pamatota ar kopējo nātrija daudzumu zālēs.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 svarīgi zālēm, ko lieto bērniem vai pacientiem ar zema satura nātrija diētu, lai sniegtu informāciju ārstiem, vecāku atbalstītājiem vai pacientiem par zemo nātrija saturu zālēs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mmol (23 mg) katrā devā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satur x mg nātrija (galvenā pārtikā lietojamās/vārāmās sāls sastāvdaļa) katrā devā [tilpuma vienībā]. Tas ir līdzvērtīgi y % ieteicamās maksimālās nātrija dienas devas pieaugušajiem</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Parenterāli lietojamām zālēm ar mainīgu (piemēram, atkarībā no ķermeņa masas) dozēšanu nātrija saturu var izteikt mg uz flakona.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Ieteicamais teksts zāļu aprakstā: </w:t>
            </w:r>
            <w:r>
              <w:tab/>
            </w:r>
            <w:r>
              <w:br/>
            </w:r>
            <w:r w:rsidR="00000000" w:rsidRPr="00000000" w:rsidDel="00000000">
              <w:rPr>
                <w:rtl w:val="0"/>
              </w:rPr>
              <w:t xml:space="preserve">''Šīs zāles satur x mg nātrija devā, kas ir līdzvērtīgi y% no PVO ieteiktās maksimālās 2 g nātrija devas pieaugušajiem''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 mmol (391 mg) maksimālajā dienas devā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Pastāstiet ārstam vai farmaceitam, ja jums ir nepieciešamas Z devas dienā vai vairāk ilgāku laiku, īpaši, ja jums ir ieteikts ievērot zema satura sāls (nātrija) diētu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Tas attiecas tikai uz zālēm, kurām apstiprinātais lietošanas veids ļauj zāles lietot katru dienu ilgāk par vienu mēnesi vai atkārtoti lietot vairāk nekā divas dienas katru nedēļu.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mmol (391 mg) ir aptuveni 20 % no PVO ieteiktās maksimālās 2 g nātrija devas pieaugušajiem un ir uzskatāmas, ka ir ar lielu nātrija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Tas ir arī būtiski bērniem, kuriem maksimālā dienas deva ir proporcionāla pieaugušajiem un pamatota ar enerģētiskām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devas atspoguļo vismazāko devu skaitu, kurām robeža 17 mmol (391 mg) nātrija ir sasniegta/pārsniegta. Noapaļojiet uz leju līdz tuvākajam veselajam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tekstu zāļu aprakstā lūdzu skatīt PRAC rekomendācijas: ''</w:t>
            </w:r>
            <w:r w:rsidR="00000000" w:rsidRPr="00000000" w:rsidDel="00000000">
              <w:rPr>
                <w:i w:val="1"/>
                <w:rtl w:val="0"/>
              </w:rPr>
              <w:t xml:space="preserve">1.3. Sodium-containing effervescent, dispersible and soluble medicines – Cardiovascular events</w:t>
            </w:r>
            <w:r w:rsidR="00000000" w:rsidRPr="00000000" w:rsidDel="00000000">
              <w:rPr>
                <w:rtl w:val="0"/>
              </w:rPr>
              <w:t xml:space="preserve">'' (EMA/PRAC/234960/2015)</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laurilsulfāts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09.10.2017.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19.11.2018.</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Sodium laurilsulfate</w:t>
            </w:r>
          </w:p>
        </w:tc>
        <w:tc>
          <w:tcPr>
            <w:shd w:fill="ffffff"/>
            <w:vAlign w:val="top"/>
            <w:noWrap w:val="true"/>
            <w:gridSpan w:val="1"/>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 ādas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satur x mg nātrija laurilsulfāta katrā devā (tilpuma vienībā), kas ir līdzvērtīgi x mg/svars (tilpums).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laurilsulfāts var izraisīt lokālas ādas reakcijas (piemēram, durstīšanas vai dedzināšanas sajūtu) vai pastiprināt ādas reakcijas, ko izraisa citas zāles, ja tās uzklātas uz tā paša laukuma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Ādas biezums ievērojami atšķiras atkarībā no ķermeņa vietas un vecuma, un tas var būt nozīmīgs faktors jutībā pret nātrija laurilsulfātu (NLS).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Jutība pret NLS mainīsies arī atkarībā no zāļu formas veida (un citu palīgvielu iedarbības), NLS koncentrācijas, kontakta ilguma un pacientu populācijas (bērni, hidratācijas līmenis, ādas krāsa un slimības).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Pacienti ar pavājinātu ādas barjeras funkciju, piemēram, ar atopisko dermatītu, ir vairāk jutīgi pret NLS kairinošajām īpašībām</w:t>
            </w:r>
          </w:p>
        </w:tc>
      </w:tr>
      <w:tr>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Organiskie dzīvsudraba savienojumi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Tiomersāls,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Fenildzīvsudraba nitrāts/acetāts/borāts</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Organic mercury compounds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for example,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Thiomersal,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Phenylmercuric nitrate/ acetate/ borate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Okulāri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izraisīt alerģiskas reakcijas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 ''</w:t>
            </w:r>
            <w:r w:rsidR="00000000" w:rsidRPr="00000000" w:rsidDel="00000000">
              <w:rPr>
                <w:i w:val="1"/>
                <w:rtl w:val="0"/>
              </w:rPr>
              <w:t xml:space="preserve">EMEA Public Statement</w:t>
            </w:r>
            <w:r w:rsidR="00000000" w:rsidRPr="00000000" w:rsidDel="00000000">
              <w:rPr>
                <w:rtl w:val="0"/>
              </w:rPr>
              <w:t xml:space="preserve">'', 1999. gada 8. jūlijs. Ref. EMEA/20962/99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Lokāli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izraisīt lokālas ādas reakcijas (piemēram, kontaktdermatītu) un krāsas maiņu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Parenterāli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gridSpan w:val="1"/>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satur konservantu (tiomersālu), kas, iespējams, var izraisīt jums vai jūsu bērnam alerģisku reakciju. Pasakiet savam ārstam, ja jums vai jūsu bērnam ir bijušas alerģiskas reakcijas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 “</w:t>
            </w:r>
            <w:r w:rsidR="00000000" w:rsidRPr="00000000" w:rsidDel="00000000">
              <w:rPr>
                <w:i w:val="1"/>
                <w:rtl w:val="0"/>
              </w:rPr>
              <w:t xml:space="preserve">EMEA Public Statement</w:t>
            </w:r>
            <w:r w:rsidR="00000000" w:rsidRPr="00000000" w:rsidDel="00000000">
              <w:rPr>
                <w:rtl w:val="0"/>
              </w:rPr>
              <w:t xml:space="preserve">”, 1999. gada 8. jūlijs. Ref. EMEA/20962/99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Pasakiet savam ārstam, ja jums vai jūsu bērnam bija kādas veselības problēmas pēc iepriekšējās vakcīnas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informācija, kas jānorāda vakcīnām</w:t>
            </w:r>
          </w:p>
        </w:tc>
      </w:tr>
      <w:tr>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Parahidroksi­benzoāti un to esteri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E214, Etil-hidroksibenzoāts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E215, Nātrija etilhidroksibenzoāts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Propilhidroksibenzoāts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propilhidroksibenzoāts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E218, Metilhidroksibenzoāts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E219, Nātrija metilhidroksibenzoāts</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Parahydroxybenzoates</w:t>
            </w:r>
            <w:r>
              <w:tab/>
            </w:r>
            <w:r>
              <w:br/>
            </w:r>
            <w:r w:rsidR="00000000" w:rsidRPr="00000000" w:rsidDel="00000000">
              <w:rPr>
                <w:i w:val="1"/>
                <w:rtl w:val="0"/>
              </w:rPr>
              <w:t xml:space="preserve">and their esters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for example,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E214, </w:t>
            </w:r>
            <w:r w:rsidR="00000000" w:rsidRPr="00000000" w:rsidDel="00000000">
              <w:rPr>
                <w:i w:val="1"/>
                <w:rtl w:val="0"/>
              </w:rPr>
              <w:t xml:space="preserve">Ethylhydroxybenzoate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E216, </w:t>
            </w:r>
            <w:r w:rsidR="00000000" w:rsidRPr="00000000" w:rsidDel="00000000">
              <w:rPr>
                <w:i w:val="1"/>
                <w:rtl w:val="0"/>
              </w:rPr>
              <w:t xml:space="preserve">Propyl</w:t>
            </w:r>
            <w:r w:rsidR="00000000" w:rsidRPr="00000000" w:rsidDel="00000000">
              <w:rPr>
                <w:rtl w:val="0"/>
              </w:rPr>
              <w:t xml:space="preserve"> </w:t>
            </w:r>
            <w:r w:rsidR="00000000" w:rsidRPr="00000000" w:rsidDel="00000000">
              <w:rPr>
                <w:i w:val="1"/>
                <w:rtl w:val="0"/>
              </w:rPr>
              <w:t xml:space="preserve">hydroxybenzoate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E217, </w:t>
            </w:r>
            <w:r w:rsidR="00000000" w:rsidRPr="00000000" w:rsidDel="00000000">
              <w:rPr>
                <w:i w:val="1"/>
                <w:rtl w:val="0"/>
              </w:rPr>
              <w:t xml:space="preserve">Sodium</w:t>
            </w:r>
            <w:r w:rsidR="00000000" w:rsidRPr="00000000" w:rsidDel="00000000">
              <w:rPr>
                <w:rtl w:val="0"/>
              </w:rPr>
              <w:t xml:space="preserve"> </w:t>
            </w:r>
            <w:r w:rsidR="00000000" w:rsidRPr="00000000" w:rsidDel="00000000">
              <w:rPr>
                <w:i w:val="1"/>
                <w:rtl w:val="0"/>
              </w:rPr>
              <w:t xml:space="preserve">propylhydroxybenzoate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E218, </w:t>
            </w:r>
            <w:r w:rsidR="00000000" w:rsidRPr="00000000" w:rsidDel="00000000">
              <w:rPr>
                <w:i w:val="1"/>
                <w:rtl w:val="0"/>
              </w:rPr>
              <w:t xml:space="preserve">Methyl</w:t>
            </w:r>
            <w:r w:rsidR="00000000" w:rsidRPr="00000000" w:rsidDel="00000000">
              <w:rPr>
                <w:rtl w:val="0"/>
              </w:rPr>
              <w:t xml:space="preserve"> </w:t>
            </w:r>
            <w:r w:rsidR="00000000" w:rsidRPr="00000000" w:rsidDel="00000000">
              <w:rPr>
                <w:i w:val="1"/>
                <w:rtl w:val="0"/>
              </w:rPr>
              <w:t xml:space="preserve">hydroxybenzoate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E219, </w:t>
            </w:r>
            <w:r w:rsidR="00000000" w:rsidRPr="00000000" w:rsidDel="00000000">
              <w:rPr>
                <w:i w:val="1"/>
                <w:rtl w:val="0"/>
              </w:rPr>
              <w:t xml:space="preserve">Sodium methyl hydroxybenzoate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Okulāri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Lokāli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izraisīt alerģiskas reakcijas (iespējams, vēlīnas)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Parenterāli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Inhalāciju veidā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izraisīt alerģiskas reakcijas (iespējams, vēlīnas) un ārkārtējos gadījumos – bronhospazmu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Peru balzāms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Balsam of Peru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Lokāli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izsaukt ādas reakciju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Polioksilēta rīcineļļa (Makrogolglicerīna ricinoleāts)</w:t>
            </w:r>
            <w:r>
              <w:tab/>
            </w:r>
            <w:r>
              <w:br/>
            </w:r>
            <w:r w:rsidR="00000000" w:rsidRPr="00000000" w:rsidDel="00000000">
              <w:rPr>
                <w:rtl w:val="0"/>
              </w:rPr>
              <w:t xml:space="preserve">Polioksilēta rīcineļļa, hidrogenēta (Makrogolglicerīna hidroksistearāts)</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Castor oil polyoxyl</w:t>
            </w:r>
            <w:r>
              <w:tab/>
            </w:r>
            <w:r>
              <w:br/>
            </w:r>
            <w:r w:rsidR="00000000" w:rsidRPr="00000000" w:rsidDel="00000000">
              <w:rPr>
                <w:i w:val="1"/>
                <w:rtl w:val="0"/>
              </w:rPr>
              <w:t xml:space="preserve">and castor oil polyoxyl hydrogenated</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Parenterāli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izraisīt smagas alerģiskas reakcijas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izraisīt kuņģa darbības traucējumus un caureju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Lokāli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izraisīt ādas reakcijas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Propilēnglikols (E 1520) un propilēnglikola ester</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09.10.2017.</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Propylene glycol (E 1520) and esters of propylene glycol </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Parenterāli</w:t>
            </w:r>
          </w:p>
        </w:tc>
        <w:tc>
          <w:tcPr>
            <w:shd w:fill="ffffff"/>
            <w:vAlign w:val="top"/>
            <w:noWrap w:val="true"/>
            <w:vMerge w:val="restart"/>
            <w:gridSpan w:val="1"/>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mg/kg/dienā</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jūsu bērns ir jaunāks par 4 nedēļām, pirms šo zāļu lietošanas konsultējieties ar ārstu vai farmaceitu, it īpaši, ja bērnam tiek dotas citas zāles, kas satur propilēnglikolu vai alkoholu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Vienlaicīga lietošana ar jebkuru etilspirta dehidrogenāzes substrātu, piemēram, etilspirtu, var izraisīt nopietnas blakusparādības jaundzimušajiem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mg/kg/dienā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jūsu bērns ir jaunāks par 5 gadiem, pirms šo zāļu lietošanas konsultējieties ar ārstu vai farmaceitu, it īpaši, ja bērnam tiek dotas citas zāles, kas satur propilēnglikolu vai alkoholu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Vienlaicīga lietošana ar jebkuru etilspirta dehidrogenāzes substrātu, piemēram, etilspirtu, var izraisīt nopietnas blakusparādības bērniem, jaunākiem par 5 gadiem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esat grūtniece vai barojat bērnu ar krūti, nelietojiet šīs zāles, ja vien to nav ieteicis ārsts. Ārsts jums var veikt papildu pārbaudes šo zāļu lietošanas laikā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arī propilēnglikols neizraisa reproduktīvo vai attīstības toksicitāti dzīvniekiem vai cilvēkiem, tas var nokļūt auglī un ir atrodams pienā. Līdz ar to propilēnglikola nozīmēšana grūtniecēm vai ar krūti barojošām pacientēm jāapsver katrā gadījumā atsevišķi</w:t>
            </w:r>
            <w:r>
              <w:br/>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jums ir aknu vai nieru slimība, nelietojiet šīs zāles, ja vien to nav ieteicis ārsts. Ārsts jums var veikt papildu pārbaudes šo zāļu lietošanas laikā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Pacientiem ar nieru vai aknu darbības traucējumiem ir nepieciešama medicīniska uzraudzība, jo ziņots par dažādām ar propilēnglikolu saistītām blakusparādībām, piemēram, nieru disfunkcija (akūta tubulāra nekroze), akūta nieru mazspēja un aknu disfunkcija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 mg/kg/dienā</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Šajās zālēs esošajam propilēnglikolam var būt tāda pati iedarbība, kā iedzerot alkoholu, un tas var palielināt blakusparādību iespējamību.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Nelietojiet šīs zāles bērniem, jaunākiem par 5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Lietojiet šīs zāles tikai tad, ja tās iesaka ārsts. Ārsts jums var veikt papildu pārbaudes šo zāļu lietošanas laikā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Lietojot propilēnglikolu lielās devās vai ilgstoši, ziņots par dažādām blakusparādībām, piemēram, hiperosmolalitāti, laktacidozi, nieru disfunkciju (akūta tubulāra nekroze), akūtu nieru mazspēju, kardiotoksicitāti (aritmija, hipotensija), centrālās nervu sistēmas traucējumiem (depresija, koma, krampji), elpošanas nomākumu, aknu disfunkciju, hemolītisku reakciju (intravaskulāra hemolīze) un hemoglobinūriju vai daudzu orgānu disfunkciju.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Devas, lielākas par 500 mg/kg/dienā, varētu tikt  nozīmētas bērniem &gt; 5 gadiem, bet tas būtu jāapsver katrā gadījumā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Blakusparādības parasti izzūd, pārtraucot lietot propilēnglikolu un smagākos gadījumos – veicot hemodialīzi.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 medicīniska uzraudzība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 ādas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mg/kg/dienā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Propilēnglikols var izraisīt ādas kairinājumu.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Nelietot šīs zāles bērniem, jaunākiem par 4 nedēļām, uz atvērtām brūcēm vai plašiem plaisājošiem vai bojātiem ādas laukumiem (piemēram, apdegumiem), iepriekš nekonsultējoties ar ārstu vai farmaceitu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 mg/kg/dienā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Propilēnglikols var izraisīt ādas kairinājumu.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šīs zāles satur propilēnglikolu, nelietot tās uz atvērtām brūcēm vai plašiem plaisājošiem vai bojātiem ādas laukumiem (piemēram, apdegumiem), iepriekš nekonsultējoties ar ārstu vai farmaceitu</w:t>
            </w:r>
            <w:r>
              <w:tab/>
            </w:r>
            <w:r>
              <w:br/>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mg/kg/dienā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satur x mg propilēnglikola katrā devā (tilpuma vienībā), kas ir līdzvērtīgi x mg/svars (tilpums)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Saharoze</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Sucrose</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ārsts ir teicis, ka jums ir kāda cukura nepanesība, pirms lietojat šīs zāles, konsultējieties ar ārstu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aprakstā norāda: Šīs zāles nevajadzētu lietot pacientiem ar retu iedzimtu fruktozes nepanesību, glikozes–galaktozes malabsorbciju vai saharāzes−izomaltāzes nepietiekamību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g</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 x g saharozes katrā devā.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Tas jāievēro pacientiem ar cukura diabētu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Šķidrumi iekšķīgai lietošanai, sūkājamās tabletes un košļājamās tabletes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kaitēt zobiem</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jāiekļauj tikai tad, ja zāles ordinē ilgstošai lietošanai, piemēram, divas nedēļas vai vairāk</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Sezameļļa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Sesame oil</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Reti var izraisīt smagas alerģiskas reakcijas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Sojas eļļa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Hidrogenēta sojas eļļa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Soya oil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Hydrogenated Soya oil</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Zāles satur sojas eļļu. Ja jums ir alerģija pret zemesriekstiem vai soju, nelietojiet šīs zāles</w:t>
            </w:r>
            <w:r>
              <w:tab/>
            </w:r>
            <w:r>
              <w:br/>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Līdzīgi kā arahisa eļļai.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aprakstā – kontrindikācija</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Sorbīnskābe (E200) un sāļi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Sorbic acid (E 200) and salts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Lokāli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izraisīt lokālas ādas reakcijas (piemēram, kontaktdermatītu)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Sorbīts (E420)</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09.10.2017.</w:t>
            </w:r>
          </w:p>
        </w:tc>
        <w:tc>
          <w:tcPr>
            <w:shd w:fill="ffffff"/>
            <w:vAlign w:val="top"/>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Sorbitol</w:t>
            </w:r>
            <w:r w:rsidR="00000000" w:rsidRPr="00000000" w:rsidDel="00000000">
              <w:rPr>
                <w:rtl w:val="0"/>
              </w:rPr>
              <w:t xml:space="preserve"> (E420)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w:t>
            </w:r>
            <w:r>
              <w:br/>
            </w:r>
            <w:r w:rsidR="00000000" w:rsidRPr="00000000" w:rsidDel="00000000">
              <w:rPr>
                <w:rtl w:val="0"/>
              </w:rPr>
              <w:t xml:space="preserve">mg/kg/dienā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Sorbīts var izraisīt nepatīkamas sajūtas kuņģa–zarnu traktā un vieglu caureju veicinošu iedarbību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Parenterāli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zāles satur x mg sorbīta katrā devā (tilpuma vienībā), kas ir līdzvērtīgi x mg/svara (tilpuma)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Jāņem vērā papildu ietekme no vienlaicīgi lietotiem sorbītu (vai fruktozi) saturošiem produktiem un sorbīta (vai fruktozes) uzņemšanas ar uzturu.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Sorbīta daudzums iekšķīgi lietojamās zālēs var ietekmēt citu vienlaicīgi iekšķīgi lietotu zāļu biopieejamību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 parenterāli  (izņemot intravenozu ievadīšanas veidu)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mg/kg/dienā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Sorbīts ir fruktozes avots. Ja ārsts ir teicis, ka jums (vai Jūsu bērnam) ir kāda cukura nepanesība, vai jums ir diagnosticēta reta ģenētiska slimība – iedzimta fruktozes nepanesība, kuras gadījumā organismā nesadalās fruktoze –, pirms lietojat vai saņemat šīs zāles, konsultējieties ar ārstu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Pacienti ar iedzimtu fruktozes nepanesību nedrīkst lietot/saņemt šīs zāles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Intravenozi (i.v.)</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Sorbīts ir fruktozes avots. Ja jums (vai jūsu bērnam) ir reta ģenētiska slimība – iedzimta fruktozes nepanesība –, jūs (vai jūsu bērns) nedrīkstat lietot šīs zāles. Pacienti ar iedzimtu fruktozes nepanesību organismā nevar sadalīt fruktozi, kas ir šo zāļu sastāvā, un tas var izraisīt nopietnas blakusparādības.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saņemat šīs zāles, jums jāpastāsta ārstam, ja jums (vai jūsu bērnam) ir iedzimta fruktozes nepanesība vai jūsu bērns vairs nevar lietot saldus ēdienus vai dzērienus, jo tie izraisa sliktu dūšu, vemšanu vai citas nepatīkamas sajūtas kā vēdera pūšanos, kuņģa spazmas vai caureju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Pacienti ar iedzimtu fruktozes nepanesību nedrīkst lietot šīs zāles, ja vien tas nav absolūti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Jaundzimušajiem un maziem bērniem (līdz 2 gadu vecumam) var vēl nebūt diagnosticēta iedzimta fruktozes nepanesība. Zāles (kuras satur sorbītu/fruktozi), ievadītas intravenozi, var būt dzīvībai bīstamas un tām ir jābūt kontrindicētām šajā populācijā, izņemot gadījumus, ja ir absolūta klīniska nepieciešamība un nav pieejamu alternatīvu.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šo zāļu lietošanas no katra pacienta jāievāc detalizēta anamnēze attiecībā uz iedzimtas fruktozes nepanesības simptomiem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Sulfīti,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ieskaitot metabisulfītus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E220, Sēra dioksīds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E221, Nātrija sulfīts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E222, Nātrija bisulfīts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E223, Nātrija metabisulfīts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E224, Kālija metabisulfīts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E228, Kālija bisulfīts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Sulphites including metabisulphites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for example,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E220, S</w:t>
            </w:r>
            <w:r w:rsidR="00000000" w:rsidRPr="00000000" w:rsidDel="00000000">
              <w:rPr>
                <w:i w:val="1"/>
                <w:rtl w:val="0"/>
              </w:rPr>
              <w:t xml:space="preserve">ulphur</w:t>
            </w:r>
            <w:r w:rsidR="00000000" w:rsidRPr="00000000" w:rsidDel="00000000">
              <w:rPr>
                <w:i w:val="1"/>
                <w:rtl w:val="0"/>
              </w:rPr>
              <w:t xml:space="preserve"> dioxide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E221, S</w:t>
            </w:r>
            <w:r w:rsidR="00000000" w:rsidRPr="00000000" w:rsidDel="00000000">
              <w:rPr>
                <w:i w:val="1"/>
                <w:rtl w:val="0"/>
              </w:rPr>
              <w:t xml:space="preserve">odium</w:t>
            </w:r>
            <w:r w:rsidR="00000000" w:rsidRPr="00000000" w:rsidDel="00000000">
              <w:rPr>
                <w:i w:val="1"/>
                <w:rtl w:val="0"/>
              </w:rPr>
              <w:t xml:space="preserve"> sulphite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E222, S</w:t>
            </w:r>
            <w:r w:rsidR="00000000" w:rsidRPr="00000000" w:rsidDel="00000000">
              <w:rPr>
                <w:i w:val="1"/>
                <w:rtl w:val="0"/>
              </w:rPr>
              <w:t xml:space="preserve">odium</w:t>
            </w:r>
            <w:r w:rsidR="00000000" w:rsidRPr="00000000" w:rsidDel="00000000">
              <w:rPr>
                <w:i w:val="1"/>
                <w:rtl w:val="0"/>
              </w:rPr>
              <w:t xml:space="preserve"> bisulphite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E223, S</w:t>
            </w:r>
            <w:r w:rsidR="00000000" w:rsidRPr="00000000" w:rsidDel="00000000">
              <w:rPr>
                <w:i w:val="1"/>
                <w:rtl w:val="0"/>
              </w:rPr>
              <w:t xml:space="preserve">odium</w:t>
            </w:r>
            <w:r w:rsidR="00000000" w:rsidRPr="00000000" w:rsidDel="00000000">
              <w:rPr>
                <w:i w:val="1"/>
                <w:rtl w:val="0"/>
              </w:rPr>
              <w:t xml:space="preserve"> metabisulphite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E224, Po</w:t>
            </w:r>
            <w:r w:rsidR="00000000" w:rsidRPr="00000000" w:rsidDel="00000000">
              <w:rPr>
                <w:i w:val="1"/>
                <w:rtl w:val="0"/>
              </w:rPr>
              <w:t xml:space="preserve">tassium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metabisulphite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E228, P</w:t>
            </w:r>
            <w:r w:rsidR="00000000" w:rsidRPr="00000000" w:rsidDel="00000000">
              <w:rPr>
                <w:i w:val="1"/>
                <w:rtl w:val="0"/>
              </w:rPr>
              <w:t xml:space="preserve">otassium</w:t>
            </w:r>
            <w:r w:rsidR="00000000" w:rsidRPr="00000000" w:rsidDel="00000000">
              <w:rPr>
                <w:i w:val="1"/>
                <w:rtl w:val="0"/>
              </w:rPr>
              <w:t xml:space="preserve"> bisulphite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Iekšķīgi</w:t>
            </w:r>
            <w:r>
              <w:br/>
            </w:r>
            <w:r w:rsidR="00000000" w:rsidRPr="00000000" w:rsidDel="00000000">
              <w:rPr>
                <w:rtl w:val="0"/>
              </w:rPr>
              <w:t xml:space="preserve">Parenterāli</w:t>
            </w:r>
            <w:r>
              <w:br/>
            </w:r>
            <w:r w:rsidR="00000000" w:rsidRPr="00000000" w:rsidDel="00000000">
              <w:rPr>
                <w:rtl w:val="0"/>
              </w:rPr>
              <w:t xml:space="preserve">Inhalāciju veidā</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Reti var izraisīt smagas hipersensitivitātes reakcijas un bronhospazmu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Stearilspirts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Stearyl alcohol</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Lokāli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izraisīt lokālas ādas reakcijas (piemēram, kontaktdermatītu)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Vilnas tauki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(lanolīns)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Wool Fat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(Lanolin)</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Lokāli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Nulle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izraisīt lokālas ādas reakcijas (piemēram, kontaktdermatītu)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23-TA-1776</w:t>
    </w:r>
    <w:r>
      <w:br/>
    </w:r>
    <w:r w:rsidR="00000000" w:rsidRPr="00000000" w:rsidDel="00000000">
      <w:rPr>
        <w:rtl w:val="0"/>
      </w:rPr>
      <w:t xml:space="preserve">Izdrukāts 30.07.2026. 00.07 - 1.0.VK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23-TA-1776</w:t>
    </w:r>
    <w:r>
      <w:br/>
    </w:r>
    <w:r w:rsidR="00000000" w:rsidRPr="00000000" w:rsidDel="00000000">
      <w:rPr>
        <w:rtl w:val="0"/>
      </w:rPr>
      <w:t xml:space="preserve">Izdrukāts 30.07.2026. 00.07 - 1.0.VK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noteikumu_(grozījumu)_projekts_p_23-TA-1776.docx</dc:title>
</cp:coreProperties>
</file>

<file path=docProps/custom.xml><?xml version="1.0" encoding="utf-8"?>
<Properties xmlns="http://schemas.openxmlformats.org/officeDocument/2006/custom-properties" xmlns:vt="http://schemas.openxmlformats.org/officeDocument/2006/docPropsVTypes"/>
</file>